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3A5C" w14:textId="77777777" w:rsidR="001547A2" w:rsidRPr="00996037" w:rsidRDefault="00996037" w:rsidP="00876FEA">
      <w:pPr>
        <w:ind w:left="170"/>
        <w:jc w:val="center"/>
        <w:rPr>
          <w:b/>
          <w:sz w:val="32"/>
          <w:szCs w:val="32"/>
          <w:lang w:val="en-US"/>
        </w:rPr>
      </w:pPr>
      <w:r w:rsidRPr="00996037">
        <w:rPr>
          <w:b/>
          <w:sz w:val="32"/>
          <w:szCs w:val="32"/>
          <w:lang w:val="en-US"/>
        </w:rPr>
        <w:t>Influence of the activation method on the activity of the nickel catalyst</w:t>
      </w:r>
    </w:p>
    <w:p w14:paraId="47C7CEA9" w14:textId="77777777" w:rsidR="001547A2" w:rsidRPr="00B5376B" w:rsidRDefault="001547A2" w:rsidP="00876FEA">
      <w:pPr>
        <w:ind w:left="170"/>
        <w:jc w:val="center"/>
        <w:rPr>
          <w:b/>
          <w:lang w:val="en-US"/>
        </w:rPr>
      </w:pPr>
    </w:p>
    <w:p w14:paraId="57501152" w14:textId="77777777" w:rsidR="001547A2" w:rsidRPr="00996037" w:rsidRDefault="001547A2" w:rsidP="00876FEA">
      <w:pPr>
        <w:ind w:left="170"/>
        <w:jc w:val="center"/>
        <w:rPr>
          <w:b/>
          <w:sz w:val="20"/>
          <w:szCs w:val="20"/>
          <w:lang w:val="en-US"/>
        </w:rPr>
      </w:pPr>
      <w:r w:rsidRPr="00996037">
        <w:rPr>
          <w:b/>
          <w:sz w:val="20"/>
          <w:szCs w:val="20"/>
          <w:lang w:val="en-US"/>
        </w:rPr>
        <w:t>E</w:t>
      </w:r>
      <w:r w:rsidR="00996037" w:rsidRPr="00996037">
        <w:rPr>
          <w:b/>
          <w:sz w:val="20"/>
          <w:szCs w:val="20"/>
          <w:lang w:val="en-US"/>
        </w:rPr>
        <w:t xml:space="preserve">lshan </w:t>
      </w:r>
      <w:r w:rsidRPr="00996037">
        <w:rPr>
          <w:b/>
          <w:sz w:val="20"/>
          <w:szCs w:val="20"/>
          <w:lang w:val="en-US"/>
        </w:rPr>
        <w:t>Zeynalov</w:t>
      </w:r>
    </w:p>
    <w:p w14:paraId="35B54E28" w14:textId="77777777" w:rsidR="001547A2" w:rsidRPr="00B5376B" w:rsidRDefault="001547A2" w:rsidP="00876FEA">
      <w:pPr>
        <w:ind w:left="170"/>
        <w:jc w:val="center"/>
        <w:rPr>
          <w:b/>
          <w:lang w:val="en-US"/>
        </w:rPr>
      </w:pPr>
    </w:p>
    <w:p w14:paraId="0784266F" w14:textId="77777777" w:rsidR="001547A2" w:rsidRPr="00F110A0" w:rsidRDefault="00876FEA" w:rsidP="00876FEA">
      <w:pPr>
        <w:ind w:left="170"/>
        <w:jc w:val="center"/>
        <w:rPr>
          <w:iCs/>
          <w:color w:val="000000" w:themeColor="text1"/>
          <w:sz w:val="20"/>
          <w:szCs w:val="20"/>
          <w:lang w:val="en-US"/>
        </w:rPr>
      </w:pPr>
      <w:r w:rsidRPr="00F110A0">
        <w:rPr>
          <w:iCs/>
          <w:color w:val="000000" w:themeColor="text1"/>
          <w:sz w:val="20"/>
          <w:szCs w:val="20"/>
          <w:lang w:val="en-US"/>
        </w:rPr>
        <w:t>Azerbaijan State Oil and Industry University, Baku, Azadlig avenue 20, AZ1010, Azerbaijan</w:t>
      </w:r>
    </w:p>
    <w:p w14:paraId="73C311E4" w14:textId="77777777" w:rsidR="00F137BC" w:rsidRPr="00876FEA" w:rsidRDefault="00F137BC" w:rsidP="00876FEA">
      <w:pPr>
        <w:tabs>
          <w:tab w:val="right" w:pos="9355"/>
        </w:tabs>
        <w:jc w:val="both"/>
        <w:rPr>
          <w:iCs/>
          <w:lang w:val="en-US"/>
        </w:rPr>
      </w:pPr>
    </w:p>
    <w:p w14:paraId="1D92400E" w14:textId="77777777" w:rsidR="000E6F8B" w:rsidRPr="00876FEA" w:rsidRDefault="00876FEA" w:rsidP="00876FEA">
      <w:pPr>
        <w:tabs>
          <w:tab w:val="right" w:pos="9355"/>
        </w:tabs>
        <w:jc w:val="both"/>
        <w:rPr>
          <w:iCs/>
          <w:sz w:val="20"/>
          <w:szCs w:val="20"/>
          <w:lang w:val="en-US"/>
        </w:rPr>
      </w:pPr>
      <w:r w:rsidRPr="00876FEA">
        <w:rPr>
          <w:b/>
          <w:bCs/>
          <w:iCs/>
          <w:sz w:val="20"/>
          <w:szCs w:val="20"/>
          <w:lang w:val="en-US"/>
        </w:rPr>
        <w:t>Abstract</w:t>
      </w:r>
      <w:r w:rsidRPr="00876FEA">
        <w:rPr>
          <w:iCs/>
          <w:sz w:val="20"/>
          <w:szCs w:val="20"/>
          <w:lang w:val="en-US"/>
        </w:rPr>
        <w:t xml:space="preserve">. </w:t>
      </w:r>
      <w:r w:rsidR="00F137BC" w:rsidRPr="00876FEA">
        <w:rPr>
          <w:iCs/>
          <w:sz w:val="20"/>
          <w:szCs w:val="20"/>
          <w:lang w:val="en-US"/>
        </w:rPr>
        <w:t xml:space="preserve">The results of a comparative analysis of the influence of the activation method on the catalytic properties of a nickel diatomaceous earth catalyst during the conversion of isopropyl alcohol to acetone are presented. Studies of the activity of the catalyst in the reaction of gas-phase dehydrogenation of isopropyl alcohol were carried out on a flow-type laboratory installation at a temperature of 150-350ºC. </w:t>
      </w:r>
      <w:r w:rsidR="00A97090" w:rsidRPr="00876FEA">
        <w:rPr>
          <w:iCs/>
          <w:sz w:val="20"/>
          <w:szCs w:val="20"/>
          <w:lang w:val="en-US"/>
        </w:rPr>
        <w:t>The mechanical activation of the nickel diatomaceous earth catalyst was carried out in a planetary mill; traditional activation included pre-heat treatment of nickel diatomaceous earth catalyst in an atmosphere of O</w:t>
      </w:r>
      <w:r w:rsidR="00A97090" w:rsidRPr="00876FEA">
        <w:rPr>
          <w:iCs/>
          <w:sz w:val="20"/>
          <w:szCs w:val="20"/>
          <w:vertAlign w:val="subscript"/>
          <w:lang w:val="en-US"/>
        </w:rPr>
        <w:t>2</w:t>
      </w:r>
      <w:r w:rsidR="00A97090" w:rsidRPr="00876FEA">
        <w:rPr>
          <w:iCs/>
          <w:sz w:val="20"/>
          <w:szCs w:val="20"/>
          <w:lang w:val="en-US"/>
        </w:rPr>
        <w:t xml:space="preserve"> and H</w:t>
      </w:r>
      <w:r w:rsidR="00A97090" w:rsidRPr="00876FEA">
        <w:rPr>
          <w:iCs/>
          <w:sz w:val="20"/>
          <w:szCs w:val="20"/>
          <w:vertAlign w:val="subscript"/>
          <w:lang w:val="en-US"/>
        </w:rPr>
        <w:t>2</w:t>
      </w:r>
      <w:r w:rsidR="00A97090" w:rsidRPr="00876FEA">
        <w:rPr>
          <w:iCs/>
          <w:sz w:val="20"/>
          <w:szCs w:val="20"/>
          <w:lang w:val="en-US"/>
        </w:rPr>
        <w:t xml:space="preserve"> at 250°C; IR radiation was carried out using an incandescent lamp. It is shown that the nature of the activator determines the features of the formed surface nickel complexes. The activity of samples of the nickel diatomaceous earth catalyst subjected to activation by thermal reduction and thermal oxidation, as well as IR irradiation, testified to the low efficiency of these methods. An analysis of the entire set of experimental data allows us to conclude that it is promising to use the activation of a nickel diatomaceous earth catalyst by an unconventional mechanical method. The mechanically activated sample is characterized by higher activity and stability. It has been established that the mechanical activation of a nickel diatomaceous earth catalyst is more efficient than the traditional ones (thermal reduction and oxidation), as well as IR irradiation. </w:t>
      </w:r>
    </w:p>
    <w:p w14:paraId="0EB0260A" w14:textId="77777777" w:rsidR="00A97090" w:rsidRDefault="00A97090" w:rsidP="00876FEA">
      <w:pPr>
        <w:tabs>
          <w:tab w:val="right" w:pos="9355"/>
        </w:tabs>
        <w:jc w:val="both"/>
        <w:rPr>
          <w:i/>
          <w:lang w:val="en-US"/>
        </w:rPr>
      </w:pPr>
    </w:p>
    <w:p w14:paraId="16B01604" w14:textId="77777777" w:rsidR="00A97090" w:rsidRPr="00876FEA" w:rsidRDefault="00A97090" w:rsidP="00876FEA">
      <w:pPr>
        <w:jc w:val="both"/>
        <w:rPr>
          <w:iCs/>
          <w:sz w:val="20"/>
          <w:szCs w:val="20"/>
          <w:lang w:val="en-US"/>
        </w:rPr>
      </w:pPr>
      <w:r w:rsidRPr="00876FEA">
        <w:rPr>
          <w:b/>
          <w:iCs/>
          <w:sz w:val="20"/>
          <w:szCs w:val="20"/>
          <w:lang w:val="en-US"/>
        </w:rPr>
        <w:t>Keywords:</w:t>
      </w:r>
      <w:r w:rsidRPr="00876FEA">
        <w:rPr>
          <w:iCs/>
          <w:sz w:val="20"/>
          <w:szCs w:val="20"/>
          <w:lang w:val="en-US"/>
        </w:rPr>
        <w:t xml:space="preserve"> nickel catalyst; activation; activity; dehydration.</w:t>
      </w:r>
    </w:p>
    <w:p w14:paraId="7C495CC2" w14:textId="77777777" w:rsidR="00F137BC" w:rsidRPr="00F137BC" w:rsidRDefault="00F137BC" w:rsidP="00876FEA">
      <w:pPr>
        <w:tabs>
          <w:tab w:val="right" w:pos="9355"/>
        </w:tabs>
        <w:jc w:val="both"/>
        <w:rPr>
          <w:i/>
          <w:lang w:val="en-US"/>
        </w:rPr>
      </w:pPr>
    </w:p>
    <w:p w14:paraId="25787F5B" w14:textId="77777777" w:rsidR="0095258D" w:rsidRDefault="00876FEA" w:rsidP="00876FEA">
      <w:pPr>
        <w:tabs>
          <w:tab w:val="right" w:pos="9355"/>
        </w:tabs>
        <w:jc w:val="both"/>
        <w:rPr>
          <w:b/>
          <w:sz w:val="20"/>
          <w:szCs w:val="20"/>
          <w:lang w:val="en-US"/>
        </w:rPr>
      </w:pPr>
      <w:r w:rsidRPr="00AD48D4">
        <w:rPr>
          <w:b/>
          <w:sz w:val="20"/>
          <w:szCs w:val="20"/>
          <w:lang w:val="en-US"/>
        </w:rPr>
        <w:t>1. Introduction</w:t>
      </w:r>
    </w:p>
    <w:p w14:paraId="1ABA89B9" w14:textId="77777777" w:rsidR="000C0EA9" w:rsidRPr="00AD48D4" w:rsidRDefault="000C0EA9" w:rsidP="00876FEA">
      <w:pPr>
        <w:tabs>
          <w:tab w:val="right" w:pos="9355"/>
        </w:tabs>
        <w:jc w:val="both"/>
        <w:rPr>
          <w:b/>
          <w:sz w:val="20"/>
          <w:szCs w:val="20"/>
          <w:lang w:val="en-US"/>
        </w:rPr>
      </w:pPr>
    </w:p>
    <w:p w14:paraId="01423283" w14:textId="77777777" w:rsidR="00851976" w:rsidRPr="00AD48D4" w:rsidRDefault="00851976" w:rsidP="00AD48D4">
      <w:pPr>
        <w:jc w:val="both"/>
        <w:rPr>
          <w:sz w:val="20"/>
          <w:szCs w:val="20"/>
          <w:lang w:val="en-US"/>
        </w:rPr>
      </w:pPr>
      <w:r w:rsidRPr="00AD48D4">
        <w:rPr>
          <w:sz w:val="20"/>
          <w:szCs w:val="20"/>
          <w:lang w:val="en-US"/>
        </w:rPr>
        <w:t>Nickel-based catalysts are widely used in industrial catalysis. A large number of works are devoted to their study, despite this number of publications devoted to this topic does not decrease</w:t>
      </w:r>
      <w:r w:rsidR="00341A91" w:rsidRPr="00AD48D4">
        <w:rPr>
          <w:sz w:val="20"/>
          <w:szCs w:val="20"/>
          <w:vertAlign w:val="superscript"/>
          <w:lang w:val="en-US"/>
        </w:rPr>
        <w:t>1-3</w:t>
      </w:r>
      <w:r w:rsidR="00455588" w:rsidRPr="00AD48D4">
        <w:rPr>
          <w:sz w:val="20"/>
          <w:szCs w:val="20"/>
          <w:lang w:val="en-US"/>
        </w:rPr>
        <w:t>.</w:t>
      </w:r>
      <w:r w:rsidR="00AD48D4">
        <w:rPr>
          <w:sz w:val="20"/>
          <w:szCs w:val="20"/>
          <w:lang w:val="en-US"/>
        </w:rPr>
        <w:t xml:space="preserve"> </w:t>
      </w:r>
      <w:r w:rsidRPr="00AD48D4">
        <w:rPr>
          <w:sz w:val="20"/>
          <w:szCs w:val="20"/>
          <w:lang w:val="en-US"/>
        </w:rPr>
        <w:t>Nickel catalysts are active catalysts for various hydrocarbon conversion reactions and are widely used in industry</w:t>
      </w:r>
      <w:r w:rsidRPr="00AD48D4">
        <w:rPr>
          <w:sz w:val="20"/>
          <w:szCs w:val="20"/>
          <w:vertAlign w:val="superscript"/>
          <w:lang w:val="en-US"/>
        </w:rPr>
        <w:t>4-6</w:t>
      </w:r>
      <w:r w:rsidRPr="00AD48D4">
        <w:rPr>
          <w:sz w:val="20"/>
          <w:szCs w:val="20"/>
          <w:lang w:val="en-US"/>
        </w:rPr>
        <w:t>. However, when using nickel catalysts for some processes, it is necessary to increase their activity and selectivity. These tasks are successfully solved by selecting methods for the physical and chemical activation of catalytic systems and determining the optimal technological parameters of the processes. An analysis of the extensive material presented in the scientific and technical literature shows that at present, along with the development of a number of new original methods for the preliminary activation of metal-containing catalysts, traditional processes are also being studied.</w:t>
      </w:r>
    </w:p>
    <w:p w14:paraId="639876D2" w14:textId="77777777" w:rsidR="00851976" w:rsidRPr="00AD48D4" w:rsidRDefault="006913AE" w:rsidP="00AD48D4">
      <w:pPr>
        <w:jc w:val="both"/>
        <w:rPr>
          <w:sz w:val="20"/>
          <w:szCs w:val="20"/>
          <w:lang w:val="en-US"/>
        </w:rPr>
      </w:pPr>
      <w:r w:rsidRPr="00AD48D4">
        <w:rPr>
          <w:sz w:val="20"/>
          <w:szCs w:val="20"/>
          <w:lang w:val="en-US"/>
        </w:rPr>
        <w:t>Previously, it was shown that industrial nickel diatomaceous earth catalyst is effective in the processes of dehydrogenation of aliphatic alcohols to ketones</w:t>
      </w:r>
      <w:r w:rsidRPr="00AD48D4">
        <w:rPr>
          <w:color w:val="231F20"/>
          <w:sz w:val="20"/>
          <w:szCs w:val="20"/>
          <w:vertAlign w:val="superscript"/>
          <w:lang w:val="en-US"/>
        </w:rPr>
        <w:t>7-10</w:t>
      </w:r>
      <w:r w:rsidRPr="00AD48D4">
        <w:rPr>
          <w:color w:val="231F20"/>
          <w:sz w:val="20"/>
          <w:szCs w:val="20"/>
          <w:lang w:val="en-US"/>
        </w:rPr>
        <w:t>.</w:t>
      </w:r>
      <w:r w:rsidRPr="00AD48D4">
        <w:rPr>
          <w:sz w:val="20"/>
          <w:szCs w:val="20"/>
          <w:lang w:val="en-US"/>
        </w:rPr>
        <w:t xml:space="preserve"> </w:t>
      </w:r>
      <w:r w:rsidRPr="00AD48D4">
        <w:rPr>
          <w:color w:val="231F20"/>
          <w:sz w:val="20"/>
          <w:szCs w:val="20"/>
          <w:lang w:val="en-US"/>
        </w:rPr>
        <w:t xml:space="preserve">A relationship was established between the catalytic activity and the processes of phase transformations, electronic, magnetic and morphological properties of catalysts. </w:t>
      </w:r>
    </w:p>
    <w:p w14:paraId="6B134F13" w14:textId="77777777" w:rsidR="0095258D" w:rsidRDefault="006913AE" w:rsidP="00AD48D4">
      <w:pPr>
        <w:jc w:val="both"/>
        <w:rPr>
          <w:sz w:val="20"/>
          <w:szCs w:val="20"/>
          <w:lang w:val="en-US"/>
        </w:rPr>
      </w:pPr>
      <w:r w:rsidRPr="00AD48D4">
        <w:rPr>
          <w:sz w:val="20"/>
          <w:szCs w:val="20"/>
          <w:lang w:val="en-US"/>
        </w:rPr>
        <w:t>In this paper, we consider data from a comparative analysis of the effectiveness of using various activation methods on the catalytic properties of an industrial nickel diatomaceous earth catalyst in the process of isopropyl alcohol dehydrogenation to acetone.</w:t>
      </w:r>
    </w:p>
    <w:p w14:paraId="5ECD69B6" w14:textId="77777777" w:rsidR="000C0EA9" w:rsidRPr="00AD48D4" w:rsidRDefault="000C0EA9" w:rsidP="00AD48D4">
      <w:pPr>
        <w:jc w:val="both"/>
        <w:rPr>
          <w:sz w:val="20"/>
          <w:szCs w:val="20"/>
          <w:lang w:val="en-US"/>
        </w:rPr>
      </w:pPr>
    </w:p>
    <w:p w14:paraId="095D54D8" w14:textId="77777777" w:rsidR="0095258D" w:rsidRDefault="00AD48D4" w:rsidP="00AD48D4">
      <w:pPr>
        <w:jc w:val="both"/>
        <w:rPr>
          <w:b/>
          <w:sz w:val="20"/>
          <w:szCs w:val="20"/>
          <w:lang w:val="en-US"/>
        </w:rPr>
      </w:pPr>
      <w:r>
        <w:rPr>
          <w:b/>
          <w:sz w:val="20"/>
          <w:szCs w:val="20"/>
          <w:lang w:val="en-US"/>
        </w:rPr>
        <w:t xml:space="preserve">2. </w:t>
      </w:r>
      <w:r w:rsidRPr="00AD48D4">
        <w:rPr>
          <w:b/>
          <w:sz w:val="20"/>
          <w:szCs w:val="20"/>
          <w:lang w:val="en-US"/>
        </w:rPr>
        <w:t>Experimental</w:t>
      </w:r>
    </w:p>
    <w:p w14:paraId="5C8CA142" w14:textId="77777777" w:rsidR="000C0EA9" w:rsidRPr="00AD48D4" w:rsidRDefault="000C0EA9" w:rsidP="00AD48D4">
      <w:pPr>
        <w:jc w:val="both"/>
        <w:rPr>
          <w:b/>
          <w:sz w:val="20"/>
          <w:szCs w:val="20"/>
          <w:lang w:val="en-US"/>
        </w:rPr>
      </w:pPr>
    </w:p>
    <w:p w14:paraId="1A13430F" w14:textId="77777777" w:rsidR="006913AE" w:rsidRPr="00AD48D4" w:rsidRDefault="006913AE" w:rsidP="00AD48D4">
      <w:pPr>
        <w:jc w:val="both"/>
        <w:rPr>
          <w:sz w:val="20"/>
          <w:szCs w:val="20"/>
          <w:lang w:val="en-US"/>
        </w:rPr>
      </w:pPr>
      <w:r w:rsidRPr="00AD48D4">
        <w:rPr>
          <w:sz w:val="20"/>
          <w:szCs w:val="20"/>
          <w:lang w:val="en-US"/>
        </w:rPr>
        <w:t>In the course of the experiments, samples of nickel diatomaceous earth catalyst were used in the form of 4x4 mm tablets taken from an industrial batch (</w:t>
      </w:r>
      <w:r w:rsidR="00AA5B68" w:rsidRPr="00AD48D4">
        <w:rPr>
          <w:sz w:val="20"/>
          <w:szCs w:val="20"/>
          <w:lang w:val="en-US"/>
        </w:rPr>
        <w:t>TU</w:t>
      </w:r>
      <w:r w:rsidRPr="00AD48D4">
        <w:rPr>
          <w:sz w:val="20"/>
          <w:szCs w:val="20"/>
          <w:lang w:val="en-US"/>
        </w:rPr>
        <w:t xml:space="preserve"> 38.101396-89</w:t>
      </w:r>
      <w:r w:rsidRPr="00AD48D4">
        <w:rPr>
          <w:sz w:val="20"/>
          <w:szCs w:val="20"/>
        </w:rPr>
        <w:t>Е</w:t>
      </w:r>
      <w:r w:rsidRPr="00AD48D4">
        <w:rPr>
          <w:sz w:val="20"/>
          <w:szCs w:val="20"/>
          <w:lang w:val="en-US"/>
        </w:rPr>
        <w:t>).</w:t>
      </w:r>
    </w:p>
    <w:p w14:paraId="7000675F" w14:textId="77777777" w:rsidR="0004024F" w:rsidRPr="00AD48D4" w:rsidRDefault="006913AE" w:rsidP="00AD48D4">
      <w:pPr>
        <w:jc w:val="both"/>
        <w:rPr>
          <w:sz w:val="20"/>
          <w:szCs w:val="20"/>
          <w:lang w:val="en-US"/>
        </w:rPr>
      </w:pPr>
      <w:r w:rsidRPr="00AD48D4">
        <w:rPr>
          <w:sz w:val="20"/>
          <w:szCs w:val="20"/>
          <w:lang w:val="en-US"/>
        </w:rPr>
        <w:t xml:space="preserve">Studies of the activity of the catalyst in the reaction of gas-phase dehydrogenation of isopropyl alcohol were carried out on a flow-type laboratory installation at a temperature of 150-350ºC. </w:t>
      </w:r>
      <w:r w:rsidR="0004024F" w:rsidRPr="00AD48D4">
        <w:rPr>
          <w:sz w:val="20"/>
          <w:szCs w:val="20"/>
          <w:lang w:val="en-US"/>
        </w:rPr>
        <w:t>The experiments were carried out at an alcohol flow rate of 600 h</w:t>
      </w:r>
      <w:r w:rsidR="0004024F" w:rsidRPr="00AD48D4">
        <w:rPr>
          <w:sz w:val="20"/>
          <w:szCs w:val="20"/>
          <w:vertAlign w:val="superscript"/>
          <w:lang w:val="en-US"/>
        </w:rPr>
        <w:t>-1</w:t>
      </w:r>
      <w:r w:rsidR="0004024F" w:rsidRPr="00AD48D4">
        <w:rPr>
          <w:sz w:val="20"/>
          <w:szCs w:val="20"/>
          <w:lang w:val="en-US"/>
        </w:rPr>
        <w:t>. The methodology for the analysis of raw materials and the products obtained is described in detail in the works</w:t>
      </w:r>
      <w:r w:rsidR="0004024F" w:rsidRPr="00891023">
        <w:rPr>
          <w:sz w:val="20"/>
          <w:szCs w:val="20"/>
          <w:vertAlign w:val="superscript"/>
          <w:lang w:val="en-US"/>
        </w:rPr>
        <w:t>7-10</w:t>
      </w:r>
      <w:r w:rsidR="0004024F" w:rsidRPr="00AD48D4">
        <w:rPr>
          <w:sz w:val="20"/>
          <w:szCs w:val="20"/>
          <w:lang w:val="en-US"/>
        </w:rPr>
        <w:t>.</w:t>
      </w:r>
    </w:p>
    <w:p w14:paraId="5A8A87F1" w14:textId="77777777" w:rsidR="0004024F" w:rsidRPr="00AD48D4" w:rsidRDefault="0004024F" w:rsidP="00AD48D4">
      <w:pPr>
        <w:jc w:val="both"/>
        <w:rPr>
          <w:sz w:val="20"/>
          <w:szCs w:val="20"/>
          <w:lang w:val="en-US"/>
        </w:rPr>
      </w:pPr>
      <w:r w:rsidRPr="00AD48D4">
        <w:rPr>
          <w:sz w:val="20"/>
          <w:szCs w:val="20"/>
          <w:lang w:val="en-US"/>
        </w:rPr>
        <w:t>The mechanical activation of the nickel-kieselguhr catalyst was carried out in an MP/0.5 planetary mill with steel balls 5–10 mm in diameter at a drum rotation frequency of 10 s</w:t>
      </w:r>
      <w:r w:rsidRPr="00AD48D4">
        <w:rPr>
          <w:sz w:val="20"/>
          <w:szCs w:val="20"/>
          <w:vertAlign w:val="superscript"/>
          <w:lang w:val="en-US"/>
        </w:rPr>
        <w:t>–1</w:t>
      </w:r>
      <w:r w:rsidRPr="00AD48D4">
        <w:rPr>
          <w:sz w:val="20"/>
          <w:szCs w:val="20"/>
          <w:lang w:val="en-US"/>
        </w:rPr>
        <w:t xml:space="preserve"> and a drum volume of 200 sm</w:t>
      </w:r>
      <w:r w:rsidRPr="00AD48D4">
        <w:rPr>
          <w:sz w:val="20"/>
          <w:szCs w:val="20"/>
          <w:vertAlign w:val="superscript"/>
          <w:lang w:val="en-US"/>
        </w:rPr>
        <w:t>3</w:t>
      </w:r>
      <w:r w:rsidRPr="00AD48D4">
        <w:rPr>
          <w:sz w:val="20"/>
          <w:szCs w:val="20"/>
          <w:lang w:val="en-US"/>
        </w:rPr>
        <w:t>.</w:t>
      </w:r>
    </w:p>
    <w:p w14:paraId="0F8E2011" w14:textId="77777777" w:rsidR="003508BE" w:rsidRPr="00AD48D4" w:rsidRDefault="0004024F" w:rsidP="00AD48D4">
      <w:pPr>
        <w:jc w:val="both"/>
        <w:rPr>
          <w:sz w:val="20"/>
          <w:szCs w:val="20"/>
          <w:lang w:val="en-US"/>
        </w:rPr>
      </w:pPr>
      <w:r w:rsidRPr="00AD48D4">
        <w:rPr>
          <w:sz w:val="20"/>
          <w:szCs w:val="20"/>
          <w:lang w:val="en-US"/>
        </w:rPr>
        <w:t>Conventional activation included pre-heat treatment of the nickel diatomaceous earth catalyst in an atmosphere of O</w:t>
      </w:r>
      <w:r w:rsidRPr="00AD48D4">
        <w:rPr>
          <w:sz w:val="20"/>
          <w:szCs w:val="20"/>
          <w:vertAlign w:val="subscript"/>
          <w:lang w:val="en-US"/>
        </w:rPr>
        <w:t>2</w:t>
      </w:r>
      <w:r w:rsidRPr="00AD48D4">
        <w:rPr>
          <w:sz w:val="20"/>
          <w:szCs w:val="20"/>
          <w:lang w:val="en-US"/>
        </w:rPr>
        <w:t xml:space="preserve"> and H</w:t>
      </w:r>
      <w:r w:rsidRPr="00AD48D4">
        <w:rPr>
          <w:sz w:val="20"/>
          <w:szCs w:val="20"/>
          <w:vertAlign w:val="subscript"/>
          <w:lang w:val="en-US"/>
        </w:rPr>
        <w:t>2</w:t>
      </w:r>
      <w:r w:rsidRPr="00AD48D4">
        <w:rPr>
          <w:sz w:val="20"/>
          <w:szCs w:val="20"/>
          <w:lang w:val="en-US"/>
        </w:rPr>
        <w:t xml:space="preserve"> at 250°C. The activation medium was applied to the surface of the catalyst at a rate of 20 ml/min for 2 hours. </w:t>
      </w:r>
    </w:p>
    <w:p w14:paraId="5A70D4C9" w14:textId="77777777" w:rsidR="0004024F" w:rsidRDefault="0004024F" w:rsidP="00AD48D4">
      <w:pPr>
        <w:jc w:val="both"/>
        <w:rPr>
          <w:sz w:val="20"/>
          <w:szCs w:val="20"/>
          <w:lang w:val="en-US"/>
        </w:rPr>
      </w:pPr>
      <w:r w:rsidRPr="00AD48D4">
        <w:rPr>
          <w:sz w:val="20"/>
          <w:szCs w:val="20"/>
          <w:lang w:val="en-US"/>
        </w:rPr>
        <w:t>IR irradiation was carried out using an incandescent lamp, which is a glass flask with an internal mirror coating, in which a tungsten spiral is placed. IR activation was carried out at room temperature for 2 h.</w:t>
      </w:r>
    </w:p>
    <w:p w14:paraId="35A00E18" w14:textId="77777777" w:rsidR="00233B87" w:rsidRPr="00AD48D4" w:rsidRDefault="00233B87" w:rsidP="00AD48D4">
      <w:pPr>
        <w:jc w:val="both"/>
        <w:rPr>
          <w:sz w:val="20"/>
          <w:szCs w:val="20"/>
          <w:lang w:val="en-US"/>
        </w:rPr>
      </w:pPr>
    </w:p>
    <w:p w14:paraId="584977D9" w14:textId="77777777" w:rsidR="001B573E" w:rsidRDefault="00AD48D4" w:rsidP="00AD48D4">
      <w:pPr>
        <w:jc w:val="both"/>
        <w:rPr>
          <w:b/>
          <w:sz w:val="20"/>
          <w:szCs w:val="20"/>
          <w:lang w:val="en-US"/>
        </w:rPr>
      </w:pPr>
      <w:r>
        <w:rPr>
          <w:b/>
          <w:sz w:val="20"/>
          <w:szCs w:val="20"/>
          <w:lang w:val="en-US"/>
        </w:rPr>
        <w:t xml:space="preserve">3. </w:t>
      </w:r>
      <w:r w:rsidRPr="00AD48D4">
        <w:rPr>
          <w:b/>
          <w:sz w:val="20"/>
          <w:szCs w:val="20"/>
          <w:lang w:val="en-US"/>
        </w:rPr>
        <w:t>Results and its discussion</w:t>
      </w:r>
    </w:p>
    <w:p w14:paraId="1587A477" w14:textId="77777777" w:rsidR="00233B87" w:rsidRPr="00AD48D4" w:rsidRDefault="00233B87" w:rsidP="00AD48D4">
      <w:pPr>
        <w:jc w:val="both"/>
        <w:rPr>
          <w:b/>
          <w:sz w:val="20"/>
          <w:szCs w:val="20"/>
          <w:lang w:val="en-US"/>
        </w:rPr>
      </w:pPr>
    </w:p>
    <w:p w14:paraId="0FBD1A89" w14:textId="77777777" w:rsidR="0095258D" w:rsidRPr="00AD48D4" w:rsidRDefault="006A0F4D" w:rsidP="00AD48D4">
      <w:pPr>
        <w:jc w:val="both"/>
        <w:rPr>
          <w:sz w:val="20"/>
          <w:szCs w:val="20"/>
          <w:lang w:val="en-US"/>
        </w:rPr>
      </w:pPr>
      <w:r w:rsidRPr="00AD48D4">
        <w:rPr>
          <w:sz w:val="20"/>
          <w:szCs w:val="20"/>
          <w:lang w:val="en-US"/>
        </w:rPr>
        <w:t xml:space="preserve">Under the conditions of catalysis, the nickel diatomaceous earth catalyst is in a reducing medium containing hydrogen formed during the reaction. Its effect on the catalytic process consists not only in changing the equilibrium composition </w:t>
      </w:r>
      <w:r w:rsidRPr="00AD48D4">
        <w:rPr>
          <w:sz w:val="20"/>
          <w:szCs w:val="20"/>
          <w:lang w:val="en-US"/>
        </w:rPr>
        <w:lastRenderedPageBreak/>
        <w:t>of the gas phase, but also in the degree of oxidation of the metal, the formation of the active nickel phase and, accordingly, its catalytic properties.</w:t>
      </w:r>
    </w:p>
    <w:p w14:paraId="64AFC12D" w14:textId="77777777" w:rsidR="000E6F8B" w:rsidRPr="00AD48D4" w:rsidRDefault="006A0F4D" w:rsidP="00AD48D4">
      <w:pPr>
        <w:jc w:val="both"/>
        <w:rPr>
          <w:sz w:val="20"/>
          <w:szCs w:val="20"/>
          <w:lang w:val="en-US"/>
        </w:rPr>
      </w:pPr>
      <w:r w:rsidRPr="00AD48D4">
        <w:rPr>
          <w:sz w:val="20"/>
          <w:szCs w:val="20"/>
          <w:lang w:val="en-US"/>
        </w:rPr>
        <w:t>According to our previous studies, in the process of alcohol dehydrogenation, a homogeneous nickel phase is formed on the surface of a nickel diatomaceous earth catalyst, which has a spinel structure: a cubic close-packed lattice of oxygen ions, in the tetrahedral and octahedral voids of which nickel ions are located. Under the influence of the reaction medium, the reduced metallic nickel is introduced into the crystal lattice of nickel oxide, deforming it, making it more favorable for the dehydrogenation reaction.</w:t>
      </w:r>
      <w:r w:rsidR="00891023">
        <w:rPr>
          <w:sz w:val="20"/>
          <w:szCs w:val="20"/>
          <w:lang w:val="en-US"/>
        </w:rPr>
        <w:t xml:space="preserve"> </w:t>
      </w:r>
      <w:r w:rsidRPr="00AD48D4">
        <w:rPr>
          <w:sz w:val="20"/>
          <w:szCs w:val="20"/>
          <w:lang w:val="en-US"/>
        </w:rPr>
        <w:t>On the other hand, any preliminary physicochemical treatment of the catalyst will inevitably lead to a change in the composition, properties, and mechanism of formation of surface complexes.</w:t>
      </w:r>
      <w:r w:rsidR="00891023">
        <w:rPr>
          <w:sz w:val="20"/>
          <w:szCs w:val="20"/>
          <w:lang w:val="en-US"/>
        </w:rPr>
        <w:t xml:space="preserve"> </w:t>
      </w:r>
      <w:r w:rsidRPr="00AD48D4">
        <w:rPr>
          <w:sz w:val="20"/>
          <w:szCs w:val="20"/>
          <w:lang w:val="en-US"/>
        </w:rPr>
        <w:t>In this regard, in order to study the features of the state of the active phase formed on the surface of the catalyst under conditions of different pre-activation of the nickel diatomaceous earth catalyst, a series of catalysts was studied (Table 1).</w:t>
      </w:r>
    </w:p>
    <w:p w14:paraId="4592B928" w14:textId="77777777" w:rsidR="00667E72" w:rsidRPr="00AD48D4" w:rsidRDefault="006A0F4D" w:rsidP="00876FEA">
      <w:pPr>
        <w:ind w:firstLine="709"/>
        <w:jc w:val="right"/>
        <w:rPr>
          <w:sz w:val="20"/>
          <w:szCs w:val="20"/>
        </w:rPr>
      </w:pPr>
      <w:r w:rsidRPr="00AD48D4">
        <w:rPr>
          <w:sz w:val="20"/>
          <w:szCs w:val="20"/>
          <w:lang w:val="en-US"/>
        </w:rPr>
        <w:t>Table 1</w:t>
      </w:r>
    </w:p>
    <w:p w14:paraId="28D61D42" w14:textId="77777777" w:rsidR="006A0F4D" w:rsidRPr="00AD48D4" w:rsidRDefault="006A0F4D" w:rsidP="00876FEA">
      <w:pPr>
        <w:jc w:val="center"/>
        <w:rPr>
          <w:sz w:val="20"/>
          <w:szCs w:val="20"/>
          <w:lang w:val="en-US"/>
        </w:rPr>
      </w:pPr>
      <w:r w:rsidRPr="00AD48D4">
        <w:rPr>
          <w:sz w:val="20"/>
          <w:szCs w:val="20"/>
          <w:lang w:val="en-US"/>
        </w:rPr>
        <w:t>Activation conditions</w:t>
      </w:r>
    </w:p>
    <w:tbl>
      <w:tblPr>
        <w:tblStyle w:val="a5"/>
        <w:tblpPr w:leftFromText="180" w:rightFromText="180" w:vertAnchor="text" w:tblpXSpec="center" w:tblpY="1"/>
        <w:tblOverlap w:val="never"/>
        <w:tblW w:w="5000" w:type="pct"/>
        <w:tblLook w:val="04A0" w:firstRow="1" w:lastRow="0" w:firstColumn="1" w:lastColumn="0" w:noHBand="0" w:noVBand="1"/>
      </w:tblPr>
      <w:tblGrid>
        <w:gridCol w:w="1367"/>
        <w:gridCol w:w="3007"/>
        <w:gridCol w:w="2880"/>
        <w:gridCol w:w="2091"/>
      </w:tblGrid>
      <w:tr w:rsidR="006A0F4D" w:rsidRPr="00827EB4" w14:paraId="2721A745" w14:textId="77777777" w:rsidTr="000C0EA9">
        <w:trPr>
          <w:cantSplit/>
          <w:trHeight w:val="557"/>
        </w:trPr>
        <w:tc>
          <w:tcPr>
            <w:tcW w:w="731" w:type="pct"/>
          </w:tcPr>
          <w:p w14:paraId="392D2BC4" w14:textId="77777777" w:rsidR="006A0F4D" w:rsidRPr="00F110A0" w:rsidRDefault="006A0F4D" w:rsidP="000C0EA9">
            <w:pPr>
              <w:jc w:val="center"/>
              <w:rPr>
                <w:bCs/>
                <w:sz w:val="20"/>
                <w:szCs w:val="20"/>
                <w:lang w:val="en-US"/>
              </w:rPr>
            </w:pPr>
            <w:r w:rsidRPr="00F110A0">
              <w:rPr>
                <w:bCs/>
                <w:sz w:val="20"/>
                <w:szCs w:val="20"/>
                <w:lang w:val="en-US"/>
              </w:rPr>
              <w:t>Sample No.</w:t>
            </w:r>
          </w:p>
        </w:tc>
        <w:tc>
          <w:tcPr>
            <w:tcW w:w="1609" w:type="pct"/>
            <w:vAlign w:val="center"/>
          </w:tcPr>
          <w:p w14:paraId="14F4E04A" w14:textId="77777777" w:rsidR="006A0F4D" w:rsidRPr="00F110A0" w:rsidRDefault="006A0F4D" w:rsidP="00876FEA">
            <w:pPr>
              <w:jc w:val="center"/>
              <w:rPr>
                <w:bCs/>
                <w:sz w:val="20"/>
                <w:szCs w:val="20"/>
                <w:lang w:val="en-US"/>
              </w:rPr>
            </w:pPr>
            <w:r w:rsidRPr="00F110A0">
              <w:rPr>
                <w:bCs/>
                <w:sz w:val="20"/>
                <w:szCs w:val="20"/>
                <w:lang w:val="en-US"/>
              </w:rPr>
              <w:t>Method of catalyst activation</w:t>
            </w:r>
          </w:p>
        </w:tc>
        <w:tc>
          <w:tcPr>
            <w:tcW w:w="1541" w:type="pct"/>
            <w:vAlign w:val="center"/>
          </w:tcPr>
          <w:p w14:paraId="114D2172" w14:textId="77777777" w:rsidR="006A0F4D" w:rsidRPr="00F110A0" w:rsidRDefault="006A0F4D" w:rsidP="00876FEA">
            <w:pPr>
              <w:jc w:val="center"/>
              <w:rPr>
                <w:bCs/>
                <w:sz w:val="20"/>
                <w:szCs w:val="20"/>
                <w:lang w:val="en-US"/>
              </w:rPr>
            </w:pPr>
            <w:r w:rsidRPr="00F110A0">
              <w:rPr>
                <w:bCs/>
                <w:sz w:val="20"/>
                <w:szCs w:val="20"/>
                <w:lang w:val="en-US"/>
              </w:rPr>
              <w:t>Activation conditions</w:t>
            </w:r>
          </w:p>
        </w:tc>
        <w:tc>
          <w:tcPr>
            <w:tcW w:w="1119" w:type="pct"/>
          </w:tcPr>
          <w:p w14:paraId="5708CC7B" w14:textId="77777777" w:rsidR="006A0F4D" w:rsidRPr="00F110A0" w:rsidRDefault="006A0F4D" w:rsidP="00876FEA">
            <w:pPr>
              <w:jc w:val="center"/>
              <w:rPr>
                <w:b/>
                <w:sz w:val="20"/>
                <w:szCs w:val="20"/>
                <w:lang w:val="en-US"/>
              </w:rPr>
            </w:pPr>
          </w:p>
          <w:p w14:paraId="07998220" w14:textId="77777777" w:rsidR="006A0F4D" w:rsidRPr="00F110A0" w:rsidRDefault="006A0F4D" w:rsidP="00876FEA">
            <w:pPr>
              <w:jc w:val="center"/>
              <w:rPr>
                <w:bCs/>
                <w:sz w:val="20"/>
                <w:szCs w:val="20"/>
                <w:lang w:val="en-US"/>
              </w:rPr>
            </w:pPr>
            <w:r w:rsidRPr="00F110A0">
              <w:rPr>
                <w:bCs/>
                <w:sz w:val="20"/>
                <w:szCs w:val="20"/>
                <w:lang w:val="en-US"/>
              </w:rPr>
              <w:t xml:space="preserve">Activation duration </w:t>
            </w:r>
          </w:p>
        </w:tc>
      </w:tr>
      <w:tr w:rsidR="006A0F4D" w:rsidRPr="00827EB4" w14:paraId="761D3657" w14:textId="77777777" w:rsidTr="000C0EA9">
        <w:trPr>
          <w:trHeight w:val="251"/>
        </w:trPr>
        <w:tc>
          <w:tcPr>
            <w:tcW w:w="731" w:type="pct"/>
          </w:tcPr>
          <w:p w14:paraId="511ACAE5" w14:textId="77777777" w:rsidR="006A0F4D" w:rsidRPr="00F110A0" w:rsidRDefault="006A0F4D" w:rsidP="00876FEA">
            <w:pPr>
              <w:jc w:val="center"/>
              <w:rPr>
                <w:sz w:val="20"/>
                <w:szCs w:val="20"/>
                <w:lang w:val="en-US"/>
              </w:rPr>
            </w:pPr>
            <w:r w:rsidRPr="00F110A0">
              <w:rPr>
                <w:sz w:val="20"/>
                <w:szCs w:val="20"/>
                <w:lang w:val="en-US"/>
              </w:rPr>
              <w:t>1</w:t>
            </w:r>
          </w:p>
        </w:tc>
        <w:tc>
          <w:tcPr>
            <w:tcW w:w="1609" w:type="pct"/>
          </w:tcPr>
          <w:p w14:paraId="0BE6A250" w14:textId="77777777" w:rsidR="006A0F4D" w:rsidRPr="00F110A0" w:rsidRDefault="006A0F4D" w:rsidP="00876FEA">
            <w:pPr>
              <w:rPr>
                <w:sz w:val="20"/>
                <w:szCs w:val="20"/>
                <w:lang w:val="en-US"/>
              </w:rPr>
            </w:pPr>
            <w:r w:rsidRPr="00F110A0">
              <w:rPr>
                <w:sz w:val="20"/>
                <w:szCs w:val="20"/>
                <w:lang w:val="en-US"/>
              </w:rPr>
              <w:t>Thermal recovery</w:t>
            </w:r>
          </w:p>
        </w:tc>
        <w:tc>
          <w:tcPr>
            <w:tcW w:w="1541" w:type="pct"/>
          </w:tcPr>
          <w:p w14:paraId="29ED98DA" w14:textId="77777777" w:rsidR="006A0F4D" w:rsidRPr="00F110A0" w:rsidRDefault="006A0F4D" w:rsidP="00876FEA">
            <w:pPr>
              <w:rPr>
                <w:sz w:val="20"/>
                <w:szCs w:val="20"/>
                <w:lang w:val="en-US"/>
              </w:rPr>
            </w:pPr>
            <w:r w:rsidRPr="00F110A0">
              <w:rPr>
                <w:sz w:val="20"/>
                <w:szCs w:val="20"/>
                <w:lang w:val="en-US"/>
              </w:rPr>
              <w:t>In H</w:t>
            </w:r>
            <w:r w:rsidRPr="00F110A0">
              <w:rPr>
                <w:sz w:val="20"/>
                <w:szCs w:val="20"/>
                <w:vertAlign w:val="subscript"/>
                <w:lang w:val="en-US"/>
              </w:rPr>
              <w:t>2</w:t>
            </w:r>
            <w:r w:rsidRPr="00F110A0">
              <w:rPr>
                <w:sz w:val="20"/>
                <w:szCs w:val="20"/>
                <w:lang w:val="en-US"/>
              </w:rPr>
              <w:t xml:space="preserve"> atmosphere, 523 K</w:t>
            </w:r>
          </w:p>
        </w:tc>
        <w:tc>
          <w:tcPr>
            <w:tcW w:w="1119" w:type="pct"/>
          </w:tcPr>
          <w:p w14:paraId="1B0DA91B" w14:textId="77777777" w:rsidR="006A0F4D" w:rsidRPr="00F110A0" w:rsidRDefault="006A0F4D" w:rsidP="00876FEA">
            <w:pPr>
              <w:jc w:val="center"/>
              <w:rPr>
                <w:sz w:val="20"/>
                <w:szCs w:val="20"/>
                <w:lang w:val="en-US"/>
              </w:rPr>
            </w:pPr>
            <w:r w:rsidRPr="00F110A0">
              <w:rPr>
                <w:sz w:val="20"/>
                <w:szCs w:val="20"/>
                <w:lang w:val="en-US"/>
              </w:rPr>
              <w:t>2 h</w:t>
            </w:r>
          </w:p>
        </w:tc>
      </w:tr>
      <w:tr w:rsidR="006A0F4D" w:rsidRPr="00827EB4" w14:paraId="7B2B753D" w14:textId="77777777" w:rsidTr="000C0EA9">
        <w:trPr>
          <w:trHeight w:val="256"/>
        </w:trPr>
        <w:tc>
          <w:tcPr>
            <w:tcW w:w="731" w:type="pct"/>
          </w:tcPr>
          <w:p w14:paraId="59BA9706" w14:textId="77777777" w:rsidR="006A0F4D" w:rsidRPr="00F110A0" w:rsidRDefault="006A0F4D" w:rsidP="00876FEA">
            <w:pPr>
              <w:jc w:val="center"/>
              <w:rPr>
                <w:sz w:val="20"/>
                <w:szCs w:val="20"/>
                <w:lang w:val="en-US"/>
              </w:rPr>
            </w:pPr>
            <w:r w:rsidRPr="00F110A0">
              <w:rPr>
                <w:sz w:val="20"/>
                <w:szCs w:val="20"/>
                <w:lang w:val="en-US"/>
              </w:rPr>
              <w:t>2</w:t>
            </w:r>
          </w:p>
        </w:tc>
        <w:tc>
          <w:tcPr>
            <w:tcW w:w="1609" w:type="pct"/>
          </w:tcPr>
          <w:p w14:paraId="66409EEA" w14:textId="77777777" w:rsidR="006A0F4D" w:rsidRPr="00F110A0" w:rsidRDefault="006A0F4D" w:rsidP="00876FEA">
            <w:pPr>
              <w:rPr>
                <w:sz w:val="20"/>
                <w:szCs w:val="20"/>
                <w:lang w:val="en-US"/>
              </w:rPr>
            </w:pPr>
            <w:r w:rsidRPr="00F110A0">
              <w:rPr>
                <w:sz w:val="20"/>
                <w:szCs w:val="20"/>
                <w:lang w:val="en-US"/>
              </w:rPr>
              <w:t>Thermal oxidation</w:t>
            </w:r>
          </w:p>
        </w:tc>
        <w:tc>
          <w:tcPr>
            <w:tcW w:w="1541" w:type="pct"/>
          </w:tcPr>
          <w:p w14:paraId="581D59C3" w14:textId="77777777" w:rsidR="006A0F4D" w:rsidRPr="00F110A0" w:rsidRDefault="006A0F4D" w:rsidP="00876FEA">
            <w:pPr>
              <w:rPr>
                <w:sz w:val="20"/>
                <w:szCs w:val="20"/>
                <w:lang w:val="en-US"/>
              </w:rPr>
            </w:pPr>
            <w:r w:rsidRPr="00F110A0">
              <w:rPr>
                <w:sz w:val="20"/>
                <w:szCs w:val="20"/>
                <w:lang w:val="en-US"/>
              </w:rPr>
              <w:t>In an O</w:t>
            </w:r>
            <w:r w:rsidRPr="00F110A0">
              <w:rPr>
                <w:sz w:val="20"/>
                <w:szCs w:val="20"/>
                <w:vertAlign w:val="subscript"/>
                <w:lang w:val="en-US"/>
              </w:rPr>
              <w:t>2</w:t>
            </w:r>
            <w:r w:rsidRPr="00F110A0">
              <w:rPr>
                <w:sz w:val="20"/>
                <w:szCs w:val="20"/>
                <w:lang w:val="en-US"/>
              </w:rPr>
              <w:t xml:space="preserve"> atmosphere, 523 K</w:t>
            </w:r>
          </w:p>
        </w:tc>
        <w:tc>
          <w:tcPr>
            <w:tcW w:w="1119" w:type="pct"/>
          </w:tcPr>
          <w:p w14:paraId="7909771C" w14:textId="77777777" w:rsidR="006A0F4D" w:rsidRPr="00F110A0" w:rsidRDefault="006A0F4D" w:rsidP="00876FEA">
            <w:pPr>
              <w:jc w:val="center"/>
              <w:rPr>
                <w:sz w:val="20"/>
                <w:szCs w:val="20"/>
                <w:lang w:val="en-US"/>
              </w:rPr>
            </w:pPr>
            <w:r w:rsidRPr="00F110A0">
              <w:rPr>
                <w:sz w:val="20"/>
                <w:szCs w:val="20"/>
                <w:lang w:val="en-US"/>
              </w:rPr>
              <w:t>2 h</w:t>
            </w:r>
          </w:p>
        </w:tc>
      </w:tr>
      <w:tr w:rsidR="006A0F4D" w:rsidRPr="00827EB4" w14:paraId="35607842" w14:textId="77777777" w:rsidTr="000C0EA9">
        <w:trPr>
          <w:trHeight w:val="256"/>
        </w:trPr>
        <w:tc>
          <w:tcPr>
            <w:tcW w:w="731" w:type="pct"/>
          </w:tcPr>
          <w:p w14:paraId="4D3D9FF8" w14:textId="77777777" w:rsidR="006A0F4D" w:rsidRPr="00F110A0" w:rsidRDefault="006A0F4D" w:rsidP="00876FEA">
            <w:pPr>
              <w:jc w:val="center"/>
              <w:rPr>
                <w:sz w:val="20"/>
                <w:szCs w:val="20"/>
                <w:lang w:val="en-US"/>
              </w:rPr>
            </w:pPr>
            <w:r w:rsidRPr="00F110A0">
              <w:rPr>
                <w:sz w:val="20"/>
                <w:szCs w:val="20"/>
                <w:lang w:val="en-US"/>
              </w:rPr>
              <w:t>3</w:t>
            </w:r>
          </w:p>
        </w:tc>
        <w:tc>
          <w:tcPr>
            <w:tcW w:w="1609" w:type="pct"/>
          </w:tcPr>
          <w:p w14:paraId="502EBBD8" w14:textId="77777777" w:rsidR="006A0F4D" w:rsidRPr="00F110A0" w:rsidRDefault="006A0F4D" w:rsidP="00876FEA">
            <w:pPr>
              <w:rPr>
                <w:sz w:val="20"/>
                <w:szCs w:val="20"/>
                <w:lang w:val="en-US"/>
              </w:rPr>
            </w:pPr>
            <w:r w:rsidRPr="00F110A0">
              <w:rPr>
                <w:sz w:val="20"/>
                <w:szCs w:val="20"/>
                <w:lang w:val="en-US"/>
              </w:rPr>
              <w:t>IR irradiation</w:t>
            </w:r>
          </w:p>
        </w:tc>
        <w:tc>
          <w:tcPr>
            <w:tcW w:w="1541" w:type="pct"/>
          </w:tcPr>
          <w:p w14:paraId="2BE923A3" w14:textId="77777777" w:rsidR="006A0F4D" w:rsidRPr="00F110A0" w:rsidRDefault="006A0F4D" w:rsidP="00876FEA">
            <w:pPr>
              <w:rPr>
                <w:sz w:val="20"/>
                <w:szCs w:val="20"/>
                <w:lang w:val="en-US"/>
              </w:rPr>
            </w:pPr>
            <w:r w:rsidRPr="00F110A0">
              <w:rPr>
                <w:sz w:val="20"/>
                <w:szCs w:val="20"/>
                <w:lang w:val="en-US"/>
              </w:rPr>
              <w:t>In air atmosphere, 295 K</w:t>
            </w:r>
          </w:p>
        </w:tc>
        <w:tc>
          <w:tcPr>
            <w:tcW w:w="1119" w:type="pct"/>
          </w:tcPr>
          <w:p w14:paraId="2A08F9B6" w14:textId="77777777" w:rsidR="006A0F4D" w:rsidRPr="00F110A0" w:rsidRDefault="006A0F4D" w:rsidP="00876FEA">
            <w:pPr>
              <w:jc w:val="center"/>
              <w:rPr>
                <w:sz w:val="20"/>
                <w:szCs w:val="20"/>
                <w:lang w:val="en-US"/>
              </w:rPr>
            </w:pPr>
            <w:r w:rsidRPr="00F110A0">
              <w:rPr>
                <w:sz w:val="20"/>
                <w:szCs w:val="20"/>
                <w:lang w:val="en-US"/>
              </w:rPr>
              <w:t>2 h</w:t>
            </w:r>
          </w:p>
        </w:tc>
      </w:tr>
      <w:tr w:rsidR="006A0F4D" w:rsidRPr="00827EB4" w14:paraId="57B48E86" w14:textId="77777777" w:rsidTr="000C0EA9">
        <w:trPr>
          <w:trHeight w:val="256"/>
        </w:trPr>
        <w:tc>
          <w:tcPr>
            <w:tcW w:w="731" w:type="pct"/>
          </w:tcPr>
          <w:p w14:paraId="50F25E35" w14:textId="77777777" w:rsidR="006A0F4D" w:rsidRPr="00F110A0" w:rsidRDefault="006A0F4D" w:rsidP="00876FEA">
            <w:pPr>
              <w:jc w:val="center"/>
              <w:rPr>
                <w:sz w:val="20"/>
                <w:szCs w:val="20"/>
                <w:lang w:val="en-US"/>
              </w:rPr>
            </w:pPr>
            <w:r w:rsidRPr="00F110A0">
              <w:rPr>
                <w:sz w:val="20"/>
                <w:szCs w:val="20"/>
                <w:lang w:val="en-US"/>
              </w:rPr>
              <w:t>4</w:t>
            </w:r>
          </w:p>
        </w:tc>
        <w:tc>
          <w:tcPr>
            <w:tcW w:w="1609" w:type="pct"/>
          </w:tcPr>
          <w:p w14:paraId="7D14F61C" w14:textId="77777777" w:rsidR="006A0F4D" w:rsidRPr="00F110A0" w:rsidRDefault="006A0F4D" w:rsidP="00876FEA">
            <w:pPr>
              <w:rPr>
                <w:sz w:val="20"/>
                <w:szCs w:val="20"/>
                <w:lang w:val="en-US"/>
              </w:rPr>
            </w:pPr>
            <w:r w:rsidRPr="00F110A0">
              <w:rPr>
                <w:sz w:val="20"/>
                <w:szCs w:val="20"/>
                <w:lang w:val="en-US"/>
              </w:rPr>
              <w:t>Mechanical activation</w:t>
            </w:r>
          </w:p>
        </w:tc>
        <w:tc>
          <w:tcPr>
            <w:tcW w:w="1541" w:type="pct"/>
          </w:tcPr>
          <w:p w14:paraId="28328EBA" w14:textId="77777777" w:rsidR="006A0F4D" w:rsidRPr="00F110A0" w:rsidRDefault="006A0F4D" w:rsidP="00876FEA">
            <w:pPr>
              <w:rPr>
                <w:sz w:val="20"/>
                <w:szCs w:val="20"/>
                <w:lang w:val="en-US"/>
              </w:rPr>
            </w:pPr>
            <w:r w:rsidRPr="00F110A0">
              <w:rPr>
                <w:sz w:val="20"/>
                <w:szCs w:val="20"/>
                <w:lang w:val="en-US"/>
              </w:rPr>
              <w:t>In air atmosphere, 295 K</w:t>
            </w:r>
          </w:p>
        </w:tc>
        <w:tc>
          <w:tcPr>
            <w:tcW w:w="1119" w:type="pct"/>
          </w:tcPr>
          <w:p w14:paraId="369A4778" w14:textId="77777777" w:rsidR="006A0F4D" w:rsidRPr="00F110A0" w:rsidRDefault="006A0F4D" w:rsidP="00876FEA">
            <w:pPr>
              <w:jc w:val="center"/>
              <w:rPr>
                <w:sz w:val="20"/>
                <w:szCs w:val="20"/>
                <w:lang w:val="en-US"/>
              </w:rPr>
            </w:pPr>
            <w:r w:rsidRPr="00F110A0">
              <w:rPr>
                <w:sz w:val="20"/>
                <w:szCs w:val="20"/>
                <w:lang w:val="en-US"/>
              </w:rPr>
              <w:t>90 sec</w:t>
            </w:r>
          </w:p>
        </w:tc>
      </w:tr>
    </w:tbl>
    <w:p w14:paraId="44CC92E8" w14:textId="77777777" w:rsidR="00F110A0" w:rsidRPr="00827EB4" w:rsidRDefault="00F110A0" w:rsidP="00876FEA">
      <w:pPr>
        <w:tabs>
          <w:tab w:val="left" w:pos="6345"/>
        </w:tabs>
        <w:jc w:val="both"/>
        <w:rPr>
          <w:lang w:val="en-US"/>
        </w:rPr>
      </w:pPr>
    </w:p>
    <w:p w14:paraId="772C9B28" w14:textId="77777777" w:rsidR="006A0F4D" w:rsidRPr="00AD48D4" w:rsidRDefault="006A0F4D" w:rsidP="00876FEA">
      <w:pPr>
        <w:jc w:val="both"/>
        <w:rPr>
          <w:sz w:val="20"/>
          <w:szCs w:val="20"/>
          <w:lang w:val="en-US"/>
        </w:rPr>
      </w:pPr>
      <w:r w:rsidRPr="00AD48D4">
        <w:rPr>
          <w:sz w:val="20"/>
          <w:szCs w:val="20"/>
          <w:lang w:val="en-US"/>
        </w:rPr>
        <w:t xml:space="preserve">A comparative analysis of quantitative indicators (conversion, acetone yield and selectivity) of the process indicated a significant effect of the activation method (Fig. 1). It is important to note that the dehydrogenation of alcohol to acetone took place in all samples, however, with some peculiarities. It was found that the activity of the studied samples decreased in the series: </w:t>
      </w:r>
    </w:p>
    <w:p w14:paraId="05493550" w14:textId="77777777" w:rsidR="006A0F4D" w:rsidRPr="00AD48D4" w:rsidRDefault="006A0F4D" w:rsidP="00876FEA">
      <w:pPr>
        <w:tabs>
          <w:tab w:val="left" w:pos="6345"/>
        </w:tabs>
        <w:jc w:val="center"/>
        <w:rPr>
          <w:sz w:val="20"/>
          <w:szCs w:val="20"/>
          <w:lang w:val="en-US"/>
        </w:rPr>
      </w:pPr>
      <w:r w:rsidRPr="00AD48D4">
        <w:rPr>
          <w:noProof/>
          <w:sz w:val="20"/>
          <w:szCs w:val="20"/>
          <w:lang w:val="en-US" w:eastAsia="en-US"/>
        </w:rPr>
        <w:drawing>
          <wp:inline distT="0" distB="0" distL="0" distR="0" wp14:anchorId="0142530D" wp14:editId="6878CB8C">
            <wp:extent cx="3994100" cy="579536"/>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8477" cy="594681"/>
                    </a:xfrm>
                    <a:prstGeom prst="rect">
                      <a:avLst/>
                    </a:prstGeom>
                    <a:noFill/>
                    <a:ln>
                      <a:noFill/>
                    </a:ln>
                  </pic:spPr>
                </pic:pic>
              </a:graphicData>
            </a:graphic>
          </wp:inline>
        </w:drawing>
      </w:r>
    </w:p>
    <w:p w14:paraId="648EE134" w14:textId="77777777" w:rsidR="00EB499A" w:rsidRPr="00AD48D4" w:rsidRDefault="00EB499A" w:rsidP="00876FEA">
      <w:pPr>
        <w:ind w:firstLine="709"/>
        <w:jc w:val="both"/>
        <w:rPr>
          <w:sz w:val="20"/>
          <w:szCs w:val="20"/>
          <w:lang w:val="en-US"/>
        </w:rPr>
      </w:pPr>
    </w:p>
    <w:p w14:paraId="586268FF" w14:textId="77777777" w:rsidR="006A0F4D" w:rsidRPr="00AD48D4" w:rsidRDefault="006A0F4D" w:rsidP="00AD48D4">
      <w:pPr>
        <w:jc w:val="both"/>
        <w:rPr>
          <w:sz w:val="20"/>
          <w:szCs w:val="20"/>
          <w:lang w:val="en-US"/>
        </w:rPr>
      </w:pPr>
      <w:r w:rsidRPr="00AD48D4">
        <w:rPr>
          <w:sz w:val="20"/>
          <w:szCs w:val="20"/>
          <w:lang w:val="en-US"/>
        </w:rPr>
        <w:t>Comparison of the activated samples showed that in the first case (sample 1), hydrogen, presumably, along with participation in the reduction of surface nickel oxide, was also physically adsorbed on the catalyst surface. A high yield of acetone is associated with this: the reaction proceeds simultaneously along two routes: through the surface decomposition of alcohol and its interaction from the gas phase with the available adsorbed hydrogen.</w:t>
      </w:r>
    </w:p>
    <w:p w14:paraId="5262E80F" w14:textId="77777777" w:rsidR="006A0F4D" w:rsidRDefault="006A0F4D" w:rsidP="00876FEA">
      <w:pPr>
        <w:jc w:val="center"/>
        <w:rPr>
          <w:sz w:val="28"/>
          <w:szCs w:val="28"/>
          <w:lang w:val="en-US"/>
        </w:rPr>
      </w:pPr>
      <w:r>
        <w:rPr>
          <w:noProof/>
          <w:sz w:val="28"/>
          <w:szCs w:val="28"/>
          <w:lang w:val="en-US" w:eastAsia="en-US"/>
        </w:rPr>
        <w:drawing>
          <wp:inline distT="0" distB="0" distL="0" distR="0" wp14:anchorId="7D25B20B" wp14:editId="2A2C42CA">
            <wp:extent cx="5591175" cy="2714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2714625"/>
                    </a:xfrm>
                    <a:prstGeom prst="rect">
                      <a:avLst/>
                    </a:prstGeom>
                    <a:noFill/>
                    <a:ln>
                      <a:noFill/>
                    </a:ln>
                  </pic:spPr>
                </pic:pic>
              </a:graphicData>
            </a:graphic>
          </wp:inline>
        </w:drawing>
      </w:r>
    </w:p>
    <w:p w14:paraId="376D7718" w14:textId="77777777" w:rsidR="006A0F4D" w:rsidRPr="00AD48D4" w:rsidRDefault="006A0F4D" w:rsidP="00AD48D4">
      <w:pPr>
        <w:jc w:val="both"/>
        <w:rPr>
          <w:sz w:val="20"/>
          <w:szCs w:val="20"/>
          <w:lang w:val="en-US"/>
        </w:rPr>
      </w:pPr>
      <w:r w:rsidRPr="00AD48D4">
        <w:rPr>
          <w:b/>
          <w:sz w:val="20"/>
          <w:szCs w:val="20"/>
          <w:lang w:val="en-US"/>
        </w:rPr>
        <w:t>Fig.1.</w:t>
      </w:r>
      <w:r w:rsidRPr="00AD48D4">
        <w:rPr>
          <w:sz w:val="20"/>
          <w:szCs w:val="20"/>
          <w:lang w:val="en-US"/>
        </w:rPr>
        <w:t xml:space="preserve"> Comparative analysis of activated samples of </w:t>
      </w:r>
      <w:r w:rsidRPr="00AD48D4">
        <w:rPr>
          <w:color w:val="000000" w:themeColor="text1"/>
          <w:sz w:val="20"/>
          <w:szCs w:val="20"/>
          <w:lang w:val="en-US"/>
        </w:rPr>
        <w:t>nickel diatomaceous earth catalyst</w:t>
      </w:r>
      <w:r w:rsidRPr="00AD48D4">
        <w:rPr>
          <w:sz w:val="20"/>
          <w:szCs w:val="20"/>
          <w:lang w:val="en-US"/>
        </w:rPr>
        <w:t>. (1-4 are numbers of activated samples, see Table 1).</w:t>
      </w:r>
    </w:p>
    <w:p w14:paraId="7D7E9FEB" w14:textId="77777777" w:rsidR="006A0F4D" w:rsidRPr="00AD48D4" w:rsidRDefault="006A0F4D" w:rsidP="00876FEA">
      <w:pPr>
        <w:jc w:val="center"/>
        <w:rPr>
          <w:sz w:val="20"/>
          <w:szCs w:val="20"/>
          <w:lang w:val="en-US"/>
        </w:rPr>
      </w:pPr>
    </w:p>
    <w:p w14:paraId="7DC9F028" w14:textId="77777777" w:rsidR="00497E6F" w:rsidRPr="00AD48D4" w:rsidRDefault="000944E2" w:rsidP="00876FEA">
      <w:pPr>
        <w:jc w:val="both"/>
        <w:rPr>
          <w:sz w:val="20"/>
          <w:szCs w:val="20"/>
          <w:lang w:val="en-US"/>
        </w:rPr>
      </w:pPr>
      <w:r w:rsidRPr="00AD48D4">
        <w:rPr>
          <w:sz w:val="20"/>
          <w:szCs w:val="20"/>
          <w:lang w:val="en-US"/>
        </w:rPr>
        <w:t>The lower yield of acetone in the presence of sample 2 can be explained by the fact that the supplied oxygen partially fills the surface, with the formation of a more or less thermally unstable surface compound, which is retained by nonspecific van der Waals adsorption. It is likely that the formation of a surface form of adsorbed oxygen prevents the selective reduction of nickel ions and is responsible for the relatively low activity of the catalyst.</w:t>
      </w:r>
    </w:p>
    <w:p w14:paraId="470F1D0D" w14:textId="77777777" w:rsidR="000944E2" w:rsidRPr="00AD48D4" w:rsidRDefault="000944E2" w:rsidP="00876FEA">
      <w:pPr>
        <w:jc w:val="both"/>
        <w:rPr>
          <w:sz w:val="20"/>
          <w:szCs w:val="20"/>
          <w:lang w:val="en-US"/>
        </w:rPr>
      </w:pPr>
      <w:r w:rsidRPr="00AD48D4">
        <w:rPr>
          <w:sz w:val="20"/>
          <w:szCs w:val="20"/>
          <w:lang w:val="en-US"/>
        </w:rPr>
        <w:lastRenderedPageBreak/>
        <w:t>It is known that during the mechanical processing of solids, the accumulation of point defects, dislocations, amorphous regions on the surface and in the volume, an increase in the area of intergranular areas, strong loosening, the formation of new surfaces, as well as the activation of chemical bonds, and other changes occur11,12.</w:t>
      </w:r>
    </w:p>
    <w:p w14:paraId="29DA5291" w14:textId="77777777" w:rsidR="000944E2" w:rsidRPr="00AD48D4" w:rsidRDefault="000944E2" w:rsidP="00876FEA">
      <w:pPr>
        <w:jc w:val="both"/>
        <w:rPr>
          <w:sz w:val="20"/>
          <w:szCs w:val="20"/>
          <w:lang w:val="en-US"/>
        </w:rPr>
      </w:pPr>
      <w:r w:rsidRPr="00AD48D4">
        <w:rPr>
          <w:sz w:val="20"/>
          <w:szCs w:val="20"/>
          <w:lang w:val="en-US"/>
        </w:rPr>
        <w:t xml:space="preserve">The conducted studies showed that no obvious change in the color scale of the catalyst (initially having an intense black color) was observed during mechanical activation. </w:t>
      </w:r>
    </w:p>
    <w:p w14:paraId="379E4C29" w14:textId="77777777" w:rsidR="000944E2" w:rsidRPr="00AD48D4" w:rsidRDefault="000944E2" w:rsidP="00AD48D4">
      <w:pPr>
        <w:jc w:val="both"/>
        <w:rPr>
          <w:sz w:val="20"/>
          <w:szCs w:val="20"/>
          <w:lang w:val="en-US"/>
        </w:rPr>
      </w:pPr>
      <w:r w:rsidRPr="00AD48D4">
        <w:rPr>
          <w:sz w:val="20"/>
          <w:szCs w:val="20"/>
          <w:lang w:val="en-US"/>
        </w:rPr>
        <w:t>The absence of visible signs of a phase transition, however, does not exclude the possibility of amorphization of the system and partial reduction of nickel, which is in good agreement with the data available in the literature, according to which the mechanical treatment of the cobalt-iron precursor was accompanied by the formation of metallic cobalt.</w:t>
      </w:r>
    </w:p>
    <w:p w14:paraId="4EDC7F4F" w14:textId="77777777" w:rsidR="0095258D" w:rsidRPr="00AD48D4" w:rsidRDefault="000944E2" w:rsidP="00AD48D4">
      <w:pPr>
        <w:jc w:val="both"/>
        <w:rPr>
          <w:sz w:val="20"/>
          <w:szCs w:val="20"/>
          <w:lang w:val="en-US"/>
        </w:rPr>
      </w:pPr>
      <w:r w:rsidRPr="00AD48D4">
        <w:rPr>
          <w:sz w:val="20"/>
          <w:szCs w:val="20"/>
          <w:lang w:val="en-US"/>
        </w:rPr>
        <w:t>The lowest activity was characteristic of sample 3 subjected to IR irradiation. In its presence, the yield of acetone was 34%, which is 19, 28, and 31%, respectively, lower than in the presence of the sample activated mechanically, as well as in H</w:t>
      </w:r>
      <w:r w:rsidRPr="00AD48D4">
        <w:rPr>
          <w:sz w:val="20"/>
          <w:szCs w:val="20"/>
          <w:vertAlign w:val="subscript"/>
          <w:lang w:val="en-US"/>
        </w:rPr>
        <w:t>2</w:t>
      </w:r>
      <w:r w:rsidRPr="00AD48D4">
        <w:rPr>
          <w:sz w:val="20"/>
          <w:szCs w:val="20"/>
          <w:lang w:val="en-US"/>
        </w:rPr>
        <w:t xml:space="preserve"> and O</w:t>
      </w:r>
      <w:r w:rsidRPr="00AD48D4">
        <w:rPr>
          <w:sz w:val="20"/>
          <w:szCs w:val="20"/>
          <w:vertAlign w:val="subscript"/>
          <w:lang w:val="en-US"/>
        </w:rPr>
        <w:t>2</w:t>
      </w:r>
      <w:r w:rsidRPr="00AD48D4">
        <w:rPr>
          <w:sz w:val="20"/>
          <w:szCs w:val="20"/>
          <w:lang w:val="en-US"/>
        </w:rPr>
        <w:t xml:space="preserve"> atmospheres.</w:t>
      </w:r>
      <w:r w:rsidR="00096E10" w:rsidRPr="00AD48D4">
        <w:rPr>
          <w:sz w:val="20"/>
          <w:szCs w:val="20"/>
          <w:lang w:val="en-US"/>
        </w:rPr>
        <w:t xml:space="preserve"> It should be noted that the degree of alcohol conversion in this case reached 71%. Having a good penetrating ability, infrared radiation, however, did not contribute to the change in the valence state of nickel, its photoreduction, and the formation of the active phase.</w:t>
      </w:r>
    </w:p>
    <w:p w14:paraId="7C0CDF4C" w14:textId="77777777" w:rsidR="0095258D" w:rsidRPr="00AD48D4" w:rsidRDefault="00096E10" w:rsidP="00AD48D4">
      <w:pPr>
        <w:jc w:val="both"/>
        <w:rPr>
          <w:rFonts w:eastAsia="TimesNewRomanPSMT"/>
          <w:sz w:val="20"/>
          <w:szCs w:val="20"/>
          <w:lang w:val="en-US"/>
        </w:rPr>
      </w:pPr>
      <w:r w:rsidRPr="00AD48D4">
        <w:rPr>
          <w:rFonts w:eastAsia="TimesNewRomanPSMT"/>
          <w:sz w:val="20"/>
          <w:szCs w:val="20"/>
          <w:lang w:val="en-US"/>
        </w:rPr>
        <w:t>A more detailed study of the activation mechanism was continued using such a convenient factor from the point of view of characterizing the operational properties of the catalyst as the duration of the process (Fig. 2).</w:t>
      </w:r>
    </w:p>
    <w:p w14:paraId="14DF7281" w14:textId="77777777" w:rsidR="005000C1" w:rsidRDefault="005000C1" w:rsidP="00AD48D4">
      <w:pPr>
        <w:jc w:val="both"/>
        <w:rPr>
          <w:rFonts w:eastAsia="TimesNewRomanPSMT"/>
          <w:sz w:val="28"/>
          <w:szCs w:val="28"/>
          <w:lang w:val="en-US"/>
        </w:rPr>
      </w:pPr>
      <w:r w:rsidRPr="00AD48D4">
        <w:rPr>
          <w:rFonts w:eastAsia="TimesNewRomanPSMT"/>
          <w:sz w:val="20"/>
          <w:szCs w:val="20"/>
          <w:lang w:val="en-US"/>
        </w:rPr>
        <w:t>When considering the experimental results, the presence of certain periods of induction attracts attention: with a change in the duration of the process, the dynamics of the release of acetone for all four samples becomes stable after passing through a certain minimum.</w:t>
      </w:r>
    </w:p>
    <w:p w14:paraId="5B387722" w14:textId="77777777" w:rsidR="00096E10" w:rsidRDefault="00096E10" w:rsidP="00876FEA">
      <w:pPr>
        <w:jc w:val="center"/>
        <w:rPr>
          <w:rFonts w:eastAsia="TimesNewRomanPSMT"/>
          <w:sz w:val="28"/>
          <w:szCs w:val="28"/>
          <w:lang w:val="en-US"/>
        </w:rPr>
      </w:pPr>
      <w:r>
        <w:rPr>
          <w:rFonts w:eastAsia="TimesNewRomanPSMT"/>
          <w:noProof/>
          <w:sz w:val="22"/>
          <w:szCs w:val="22"/>
          <w:lang w:val="en-US" w:eastAsia="en-US"/>
        </w:rPr>
        <w:drawing>
          <wp:inline distT="0" distB="0" distL="0" distR="0" wp14:anchorId="7F0AFD58" wp14:editId="63A6217C">
            <wp:extent cx="5648325" cy="4295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4295775"/>
                    </a:xfrm>
                    <a:prstGeom prst="rect">
                      <a:avLst/>
                    </a:prstGeom>
                    <a:noFill/>
                    <a:ln>
                      <a:noFill/>
                    </a:ln>
                  </pic:spPr>
                </pic:pic>
              </a:graphicData>
            </a:graphic>
          </wp:inline>
        </w:drawing>
      </w:r>
    </w:p>
    <w:p w14:paraId="203F3D01" w14:textId="77777777" w:rsidR="00096E10" w:rsidRPr="00AD48D4" w:rsidRDefault="00096E10" w:rsidP="00AD48D4">
      <w:pPr>
        <w:jc w:val="both"/>
        <w:rPr>
          <w:rFonts w:eastAsia="TimesNewRomanPSMT"/>
          <w:sz w:val="20"/>
          <w:szCs w:val="20"/>
          <w:lang w:val="en-US"/>
        </w:rPr>
      </w:pPr>
      <w:r w:rsidRPr="00AD48D4">
        <w:rPr>
          <w:rFonts w:eastAsia="TimesNewRomanPSMT"/>
          <w:sz w:val="20"/>
          <w:szCs w:val="20"/>
          <w:lang w:val="en-US"/>
        </w:rPr>
        <w:t>Fig.2. The dynamics of the output of acetone on the duration of the process in the presence of activated samples:</w:t>
      </w:r>
    </w:p>
    <w:p w14:paraId="35140730" w14:textId="77777777" w:rsidR="00096E10" w:rsidRPr="00AD48D4" w:rsidRDefault="00096E10" w:rsidP="00AD48D4">
      <w:pPr>
        <w:jc w:val="both"/>
        <w:rPr>
          <w:rFonts w:eastAsia="TimesNewRomanPSMT"/>
          <w:sz w:val="20"/>
          <w:szCs w:val="20"/>
          <w:lang w:val="en-US"/>
        </w:rPr>
      </w:pPr>
      <w:r w:rsidRPr="00AD48D4">
        <w:rPr>
          <w:rFonts w:eastAsia="TimesNewRomanPSMT"/>
          <w:sz w:val="20"/>
          <w:szCs w:val="20"/>
          <w:lang w:val="en-US"/>
        </w:rPr>
        <w:t>1 – thermal recovery;</w:t>
      </w:r>
      <w:r w:rsidRPr="00AD48D4">
        <w:rPr>
          <w:rFonts w:eastAsia="TimesNewRomanPSMT"/>
          <w:sz w:val="20"/>
          <w:szCs w:val="20"/>
          <w:lang w:val="az-Latn-AZ"/>
        </w:rPr>
        <w:t xml:space="preserve"> 2 – </w:t>
      </w:r>
      <w:r w:rsidRPr="00AD48D4">
        <w:rPr>
          <w:rFonts w:eastAsia="TimesNewRomanPSMT"/>
          <w:sz w:val="20"/>
          <w:szCs w:val="20"/>
          <w:lang w:val="en-US"/>
        </w:rPr>
        <w:t>thermal oxidation</w:t>
      </w:r>
      <w:r w:rsidRPr="00AD48D4">
        <w:rPr>
          <w:rFonts w:eastAsia="TimesNewRomanPSMT"/>
          <w:sz w:val="20"/>
          <w:szCs w:val="20"/>
          <w:lang w:val="az-Latn-AZ"/>
        </w:rPr>
        <w:t xml:space="preserve">; 3 – </w:t>
      </w:r>
      <w:r w:rsidRPr="00AD48D4">
        <w:rPr>
          <w:rFonts w:eastAsia="TimesNewRomanPSMT"/>
          <w:sz w:val="20"/>
          <w:szCs w:val="20"/>
          <w:lang w:val="en-US"/>
        </w:rPr>
        <w:t>IR irradiation; 4 – mechanical activation.</w:t>
      </w:r>
    </w:p>
    <w:p w14:paraId="5C647C46" w14:textId="77777777" w:rsidR="0085691A" w:rsidRPr="00AD48D4" w:rsidRDefault="0085691A" w:rsidP="00AD48D4">
      <w:pPr>
        <w:jc w:val="both"/>
        <w:rPr>
          <w:rFonts w:eastAsia="TimesNewRomanPSMT"/>
          <w:sz w:val="20"/>
          <w:szCs w:val="20"/>
          <w:lang w:val="en-US"/>
        </w:rPr>
      </w:pPr>
    </w:p>
    <w:p w14:paraId="16008058" w14:textId="77777777" w:rsidR="0085691A" w:rsidRPr="00AD48D4" w:rsidRDefault="0085691A" w:rsidP="00AD48D4">
      <w:pPr>
        <w:jc w:val="both"/>
        <w:rPr>
          <w:rFonts w:eastAsia="TimesNewRomanPSMT"/>
          <w:sz w:val="20"/>
          <w:szCs w:val="20"/>
          <w:lang w:val="en-US"/>
        </w:rPr>
      </w:pPr>
      <w:r w:rsidRPr="00AD48D4">
        <w:rPr>
          <w:rFonts w:eastAsia="TimesNewRomanPSMT"/>
          <w:sz w:val="20"/>
          <w:szCs w:val="20"/>
          <w:lang w:val="en-US"/>
        </w:rPr>
        <w:t>At the initial stage of the process, the sample subjected to thermal reduction exhibited high activity for the target product, which is probably associated with the presence of adsorbed hydrogen; for the same reason, in the second hour of work, its initial indicators sharply decrease and over time do not reach the previous indicators again.</w:t>
      </w:r>
    </w:p>
    <w:p w14:paraId="2C486D90" w14:textId="77777777" w:rsidR="0085691A" w:rsidRPr="00AD48D4" w:rsidRDefault="0085691A" w:rsidP="00AD48D4">
      <w:pPr>
        <w:jc w:val="both"/>
        <w:rPr>
          <w:rFonts w:eastAsia="TimesNewRomanPSMT"/>
          <w:sz w:val="20"/>
          <w:szCs w:val="20"/>
          <w:lang w:val="en-US"/>
        </w:rPr>
      </w:pPr>
      <w:r w:rsidRPr="00AD48D4">
        <w:rPr>
          <w:rFonts w:eastAsia="TimesNewRomanPSMT"/>
          <w:sz w:val="20"/>
          <w:szCs w:val="20"/>
          <w:lang w:val="en-US"/>
        </w:rPr>
        <w:t>It is possible that the repeated supply of hydrogen can lead to the effect of a short-term increase in activity. However, in the long run, the excess presence of hydrogen can lead to the generation of a wide range of valence states of nickel ions, many of which do not participate in catalysis.</w:t>
      </w:r>
    </w:p>
    <w:p w14:paraId="719FECA0" w14:textId="77777777" w:rsidR="0085691A" w:rsidRPr="00AD48D4" w:rsidRDefault="0085691A" w:rsidP="00AD48D4">
      <w:pPr>
        <w:jc w:val="both"/>
        <w:rPr>
          <w:rFonts w:eastAsia="TimesNewRomanPSMT"/>
          <w:sz w:val="20"/>
          <w:szCs w:val="20"/>
          <w:lang w:val="en-US"/>
        </w:rPr>
      </w:pPr>
      <w:r w:rsidRPr="00AD48D4">
        <w:rPr>
          <w:rFonts w:eastAsia="TimesNewRomanPSMT"/>
          <w:sz w:val="20"/>
          <w:szCs w:val="20"/>
          <w:lang w:val="en-US"/>
        </w:rPr>
        <w:t>In contrast to the thermally reduced catalyst, the catalytic activity of the oxidized sample, although slightly inferior to the latter (28% versus 12%), does not change so sharply during the process. It is possible that part of the adsorbed oxygen (not passing into the chemisorbed state) is directly involved in the formation of surface nickel complexes, which are precursors of active centers.</w:t>
      </w:r>
    </w:p>
    <w:p w14:paraId="1F45A2A0" w14:textId="77777777" w:rsidR="00BD5913" w:rsidRPr="00AD48D4" w:rsidRDefault="0085691A" w:rsidP="00AD48D4">
      <w:pPr>
        <w:jc w:val="both"/>
        <w:rPr>
          <w:rFonts w:eastAsia="TimesNewRomanPSMT"/>
          <w:sz w:val="20"/>
          <w:szCs w:val="20"/>
          <w:lang w:val="en-US"/>
        </w:rPr>
      </w:pPr>
      <w:r w:rsidRPr="00AD48D4">
        <w:rPr>
          <w:rFonts w:eastAsia="TimesNewRomanPSMT"/>
          <w:sz w:val="20"/>
          <w:szCs w:val="20"/>
          <w:lang w:val="en-US"/>
        </w:rPr>
        <w:t>The data obtained with the participation of an IR-activated sample show that their catalytic activity is significantly inferior to those reduced in O</w:t>
      </w:r>
      <w:r w:rsidRPr="00AD48D4">
        <w:rPr>
          <w:rFonts w:eastAsia="TimesNewRomanPSMT"/>
          <w:sz w:val="20"/>
          <w:szCs w:val="20"/>
          <w:vertAlign w:val="subscript"/>
          <w:lang w:val="en-US"/>
        </w:rPr>
        <w:t>2</w:t>
      </w:r>
      <w:r w:rsidRPr="00AD48D4">
        <w:rPr>
          <w:rFonts w:eastAsia="TimesNewRomanPSMT"/>
          <w:sz w:val="20"/>
          <w:szCs w:val="20"/>
          <w:lang w:val="en-US"/>
        </w:rPr>
        <w:t xml:space="preserve"> and H</w:t>
      </w:r>
      <w:r w:rsidRPr="00AD48D4">
        <w:rPr>
          <w:rFonts w:eastAsia="TimesNewRomanPSMT"/>
          <w:sz w:val="20"/>
          <w:szCs w:val="20"/>
          <w:vertAlign w:val="subscript"/>
          <w:lang w:val="en-US"/>
        </w:rPr>
        <w:t>2</w:t>
      </w:r>
      <w:r w:rsidRPr="00AD48D4">
        <w:rPr>
          <w:rFonts w:eastAsia="TimesNewRomanPSMT"/>
          <w:sz w:val="20"/>
          <w:szCs w:val="20"/>
          <w:lang w:val="en-US"/>
        </w:rPr>
        <w:t>.</w:t>
      </w:r>
      <w:r w:rsidRPr="00AD48D4">
        <w:rPr>
          <w:sz w:val="20"/>
          <w:szCs w:val="20"/>
          <w:lang w:val="en-US"/>
        </w:rPr>
        <w:t xml:space="preserve"> </w:t>
      </w:r>
      <w:r w:rsidRPr="00AD48D4">
        <w:rPr>
          <w:rFonts w:eastAsia="TimesNewRomanPSMT"/>
          <w:sz w:val="20"/>
          <w:szCs w:val="20"/>
          <w:lang w:val="en-US"/>
        </w:rPr>
        <w:t xml:space="preserve">At the same time, it should be noted that after 8 hours of catalyst operation, the </w:t>
      </w:r>
      <w:r w:rsidRPr="00AD48D4">
        <w:rPr>
          <w:rFonts w:eastAsia="TimesNewRomanPSMT"/>
          <w:sz w:val="20"/>
          <w:szCs w:val="20"/>
          <w:lang w:val="en-US"/>
        </w:rPr>
        <w:lastRenderedPageBreak/>
        <w:t>acetone yield indicators for IR- and H</w:t>
      </w:r>
      <w:r w:rsidRPr="00AD48D4">
        <w:rPr>
          <w:rFonts w:eastAsia="TimesNewRomanPSMT"/>
          <w:sz w:val="20"/>
          <w:szCs w:val="20"/>
          <w:vertAlign w:val="subscript"/>
          <w:lang w:val="en-US"/>
        </w:rPr>
        <w:t>2</w:t>
      </w:r>
      <w:r w:rsidRPr="00AD48D4">
        <w:rPr>
          <w:rFonts w:eastAsia="TimesNewRomanPSMT"/>
          <w:sz w:val="20"/>
          <w:szCs w:val="20"/>
          <w:lang w:val="en-US"/>
        </w:rPr>
        <w:t xml:space="preserve">-activated samples become almost the same, which indicates that at this stage the influence of the activation method is practically exhausted. </w:t>
      </w:r>
    </w:p>
    <w:p w14:paraId="4D7C8833" w14:textId="77777777" w:rsidR="0085691A" w:rsidRDefault="00855384" w:rsidP="00AD48D4">
      <w:pPr>
        <w:jc w:val="both"/>
        <w:rPr>
          <w:rFonts w:eastAsia="TimesNewRomanPSMT"/>
          <w:sz w:val="20"/>
          <w:szCs w:val="20"/>
          <w:lang w:val="en-US"/>
        </w:rPr>
      </w:pPr>
      <w:r w:rsidRPr="00AD48D4">
        <w:rPr>
          <w:rFonts w:eastAsia="TimesNewRomanPSMT"/>
          <w:sz w:val="20"/>
          <w:szCs w:val="20"/>
          <w:lang w:val="en-US"/>
        </w:rPr>
        <w:t>The activity of the mechanically activated sample over time is comparable to the activity of one of the best samples, thermally oxidized (sample 2). Obviously, mechanoactivation, as well as the presence of oxygen, induces activity. However, two interesting facts should be noted: the presence of an induction period in this case is limited to 2 hours (against 3 hours in the presence of O</w:t>
      </w:r>
      <w:r w:rsidRPr="00AD48D4">
        <w:rPr>
          <w:rFonts w:eastAsia="TimesNewRomanPSMT"/>
          <w:sz w:val="20"/>
          <w:szCs w:val="20"/>
          <w:vertAlign w:val="subscript"/>
          <w:lang w:val="en-US"/>
        </w:rPr>
        <w:t>2</w:t>
      </w:r>
      <w:r w:rsidRPr="00AD48D4">
        <w:rPr>
          <w:rFonts w:eastAsia="TimesNewRomanPSMT"/>
          <w:sz w:val="20"/>
          <w:szCs w:val="20"/>
          <w:lang w:val="en-US"/>
        </w:rPr>
        <w:t xml:space="preserve">), after which the catalyst begins to exhibit a higher activity than the initial one. And the second effect of mechanoactivation is a significantly greater stability of catalytic properties (activity is maintained throughout the experiment) than in the case of using other methods. Probably, the mechanical activation of the </w:t>
      </w:r>
      <w:r w:rsidRPr="00AD48D4">
        <w:rPr>
          <w:sz w:val="20"/>
          <w:szCs w:val="20"/>
          <w:lang w:val="en-US"/>
        </w:rPr>
        <w:t>nickel diatomaceous earth catalyst</w:t>
      </w:r>
      <w:r w:rsidRPr="00AD48D4">
        <w:rPr>
          <w:rFonts w:eastAsia="TimesNewRomanPSMT"/>
          <w:sz w:val="20"/>
          <w:szCs w:val="20"/>
          <w:lang w:val="en-US"/>
        </w:rPr>
        <w:t xml:space="preserve"> promotes the accumulation of energy in crystals in the form of defects or other changes in the solid, which make it possible to reduce the activation energy of the subsequent chemical transformation of the substance and improve the steric conditions for the process. In addition, as noted above, the possibility of increasing the ratio of deeply reduced nickel in the surface layer will affect the Ni/Ni</w:t>
      </w:r>
      <w:r w:rsidRPr="00AD48D4">
        <w:rPr>
          <w:rFonts w:eastAsia="TimesNewRomanPSMT"/>
          <w:sz w:val="20"/>
          <w:szCs w:val="20"/>
          <w:vertAlign w:val="subscript"/>
          <w:lang w:val="en-US"/>
        </w:rPr>
        <w:t>2</w:t>
      </w:r>
      <w:r w:rsidRPr="00AD48D4">
        <w:rPr>
          <w:rFonts w:eastAsia="TimesNewRomanPSMT"/>
          <w:sz w:val="20"/>
          <w:szCs w:val="20"/>
          <w:lang w:val="en-US"/>
        </w:rPr>
        <w:t>O</w:t>
      </w:r>
      <w:r w:rsidRPr="00AD48D4">
        <w:rPr>
          <w:rFonts w:eastAsia="TimesNewRomanPSMT"/>
          <w:sz w:val="20"/>
          <w:szCs w:val="20"/>
          <w:vertAlign w:val="subscript"/>
          <w:lang w:val="en-US"/>
        </w:rPr>
        <w:t>3</w:t>
      </w:r>
      <w:r w:rsidRPr="00AD48D4">
        <w:rPr>
          <w:rFonts w:eastAsia="TimesNewRomanPSMT"/>
          <w:sz w:val="20"/>
          <w:szCs w:val="20"/>
          <w:lang w:val="en-US"/>
        </w:rPr>
        <w:t>/NiO ratio. In turn, this will lead to an increase in the rate of formation of active surface intermediates "reagent-catalyst" and, in general, to an acceleration of the reaction of isopropyl alcohol conversion into acetone.</w:t>
      </w:r>
    </w:p>
    <w:p w14:paraId="3D81EF95" w14:textId="77777777" w:rsidR="00891023" w:rsidRPr="00AD48D4" w:rsidRDefault="00891023" w:rsidP="00AD48D4">
      <w:pPr>
        <w:jc w:val="both"/>
        <w:rPr>
          <w:rFonts w:eastAsia="TimesNewRomanPSMT"/>
          <w:sz w:val="20"/>
          <w:szCs w:val="20"/>
          <w:lang w:val="en-US"/>
        </w:rPr>
      </w:pPr>
    </w:p>
    <w:p w14:paraId="3CD105EA" w14:textId="77777777" w:rsidR="00AD48D4" w:rsidRDefault="00AD48D4" w:rsidP="00AD48D4">
      <w:pPr>
        <w:jc w:val="both"/>
        <w:rPr>
          <w:rFonts w:eastAsia="TimesNewRomanPSMT"/>
          <w:b/>
          <w:bCs/>
          <w:sz w:val="20"/>
          <w:szCs w:val="20"/>
          <w:lang w:val="en-GB"/>
        </w:rPr>
      </w:pPr>
      <w:r>
        <w:rPr>
          <w:rFonts w:eastAsia="TimesNewRomanPSMT"/>
          <w:b/>
          <w:bCs/>
          <w:sz w:val="20"/>
          <w:szCs w:val="20"/>
          <w:lang w:val="en-GB"/>
        </w:rPr>
        <w:t xml:space="preserve">4. </w:t>
      </w:r>
      <w:r w:rsidRPr="00AD48D4">
        <w:rPr>
          <w:rFonts w:eastAsia="TimesNewRomanPSMT"/>
          <w:b/>
          <w:bCs/>
          <w:sz w:val="20"/>
          <w:szCs w:val="20"/>
          <w:lang w:val="en-GB"/>
        </w:rPr>
        <w:t>Conclusion</w:t>
      </w:r>
    </w:p>
    <w:p w14:paraId="39DCB33B" w14:textId="77777777" w:rsidR="00891023" w:rsidRPr="00AD48D4" w:rsidRDefault="00891023" w:rsidP="00AD48D4">
      <w:pPr>
        <w:jc w:val="both"/>
        <w:rPr>
          <w:rFonts w:eastAsia="TimesNewRomanPSMT"/>
          <w:b/>
          <w:bCs/>
          <w:sz w:val="20"/>
          <w:szCs w:val="20"/>
          <w:lang w:val="en-US"/>
        </w:rPr>
      </w:pPr>
    </w:p>
    <w:p w14:paraId="62D4B460" w14:textId="77777777" w:rsidR="00855384" w:rsidRPr="0085691A" w:rsidRDefault="00891023" w:rsidP="00AD48D4">
      <w:pPr>
        <w:jc w:val="both"/>
        <w:rPr>
          <w:rFonts w:eastAsia="TimesNewRomanPSMT"/>
          <w:sz w:val="28"/>
          <w:szCs w:val="28"/>
          <w:lang w:val="en-US"/>
        </w:rPr>
      </w:pPr>
      <w:r>
        <w:rPr>
          <w:rFonts w:eastAsia="TimesNewRomanPSMT"/>
          <w:sz w:val="20"/>
          <w:szCs w:val="20"/>
          <w:lang w:val="en-US"/>
        </w:rPr>
        <w:t>T</w:t>
      </w:r>
      <w:r w:rsidR="00E75D1D" w:rsidRPr="00AD48D4">
        <w:rPr>
          <w:rFonts w:eastAsia="TimesNewRomanPSMT"/>
          <w:sz w:val="20"/>
          <w:szCs w:val="20"/>
          <w:lang w:val="en-US"/>
        </w:rPr>
        <w:t>he activity of samples of the nickel diatomaceous earth catalyst subjected to activation by thermal reduction and thermal oxidation, as well as IR irradiation, indicated the low efficiency of these methods. An analysis of the entire set of experimental data allows us to conclude that it is promising to use the activation of a nickel diatomaceous earth catalyst by an unconventional mechanical method. The mechanically activated sample is characterized by higher activity and stability</w:t>
      </w:r>
      <w:r w:rsidR="00E75D1D" w:rsidRPr="00E75D1D">
        <w:rPr>
          <w:rFonts w:eastAsia="TimesNewRomanPSMT"/>
          <w:sz w:val="28"/>
          <w:szCs w:val="28"/>
          <w:lang w:val="en-US"/>
        </w:rPr>
        <w:t>.</w:t>
      </w:r>
    </w:p>
    <w:p w14:paraId="1518ADD4" w14:textId="77777777" w:rsidR="00E75D1D" w:rsidRPr="00827EB4" w:rsidRDefault="00E75D1D" w:rsidP="00876FEA">
      <w:pPr>
        <w:ind w:firstLine="709"/>
        <w:jc w:val="center"/>
        <w:rPr>
          <w:b/>
          <w:sz w:val="28"/>
          <w:szCs w:val="28"/>
          <w:lang w:val="en-US"/>
        </w:rPr>
      </w:pPr>
    </w:p>
    <w:p w14:paraId="6ED16785" w14:textId="77777777" w:rsidR="001659B0" w:rsidRDefault="00891023" w:rsidP="00891023">
      <w:pPr>
        <w:rPr>
          <w:b/>
          <w:sz w:val="20"/>
          <w:szCs w:val="20"/>
        </w:rPr>
      </w:pPr>
      <w:r w:rsidRPr="00891023">
        <w:rPr>
          <w:b/>
          <w:sz w:val="20"/>
          <w:szCs w:val="20"/>
          <w:lang w:val="en-US"/>
        </w:rPr>
        <w:t>References</w:t>
      </w:r>
      <w:r w:rsidR="00B97A3E" w:rsidRPr="00891023">
        <w:rPr>
          <w:b/>
          <w:sz w:val="20"/>
          <w:szCs w:val="20"/>
        </w:rPr>
        <w:t xml:space="preserve"> </w:t>
      </w:r>
    </w:p>
    <w:p w14:paraId="727D3A6C" w14:textId="77777777" w:rsidR="00891023" w:rsidRPr="00891023" w:rsidRDefault="00891023" w:rsidP="00891023">
      <w:pPr>
        <w:rPr>
          <w:b/>
          <w:sz w:val="20"/>
          <w:szCs w:val="20"/>
        </w:rPr>
      </w:pPr>
    </w:p>
    <w:p w14:paraId="49372AA9" w14:textId="77777777" w:rsidR="00B97A3E" w:rsidRPr="00891023" w:rsidRDefault="00973319" w:rsidP="00891023">
      <w:pPr>
        <w:pStyle w:val="ab"/>
        <w:numPr>
          <w:ilvl w:val="0"/>
          <w:numId w:val="8"/>
        </w:numPr>
        <w:ind w:left="284" w:hanging="284"/>
        <w:jc w:val="both"/>
        <w:rPr>
          <w:sz w:val="20"/>
          <w:szCs w:val="20"/>
          <w:lang w:val="en-US"/>
        </w:rPr>
      </w:pPr>
      <w:r w:rsidRPr="00891023">
        <w:rPr>
          <w:sz w:val="20"/>
          <w:szCs w:val="20"/>
          <w:lang w:val="en-US"/>
        </w:rPr>
        <w:t>Samira Zafarnak, Mohammad Reza Rahimpour. Co-Ni bimetallic supported on mullite as a promising catalyst for biogas dry reforming toward hydrogen production. Molecular Catalysis, 2023, Volume 534, 112803.</w:t>
      </w:r>
    </w:p>
    <w:p w14:paraId="646C5EBF" w14:textId="77777777" w:rsidR="00647DA7" w:rsidRPr="00891023" w:rsidRDefault="00973319" w:rsidP="00891023">
      <w:pPr>
        <w:pStyle w:val="ab"/>
        <w:numPr>
          <w:ilvl w:val="0"/>
          <w:numId w:val="8"/>
        </w:numPr>
        <w:ind w:left="284" w:hanging="284"/>
        <w:jc w:val="both"/>
        <w:rPr>
          <w:sz w:val="20"/>
          <w:szCs w:val="20"/>
        </w:rPr>
      </w:pPr>
      <w:r w:rsidRPr="00891023">
        <w:rPr>
          <w:sz w:val="20"/>
          <w:szCs w:val="20"/>
          <w:lang w:val="en-US"/>
        </w:rPr>
        <w:t xml:space="preserve">Dieu-Phuong Phan, The Ky Vo, </w:t>
      </w:r>
      <w:r w:rsidR="00F14C12" w:rsidRPr="00891023">
        <w:rPr>
          <w:sz w:val="20"/>
          <w:szCs w:val="20"/>
          <w:lang w:val="en-US"/>
        </w:rPr>
        <w:t>Van Nhieu Le,</w:t>
      </w:r>
      <w:r w:rsidRPr="00891023">
        <w:rPr>
          <w:sz w:val="20"/>
          <w:szCs w:val="20"/>
          <w:lang w:val="en-US"/>
        </w:rPr>
        <w:t xml:space="preserve"> </w:t>
      </w:r>
      <w:r w:rsidR="00F14C12" w:rsidRPr="00891023">
        <w:rPr>
          <w:sz w:val="20"/>
          <w:szCs w:val="20"/>
          <w:lang w:val="en-US"/>
        </w:rPr>
        <w:t>Jinsoo Kim, Eun Yeol Lee. Spray pyrolysis synthesis of bimetallic NiMo/Al2O3–TiO2 catalyst for hydrodeoxygenation of guaiacol: Effects of bimetallic composition and reduction temperature.</w:t>
      </w:r>
      <w:r w:rsidRPr="00891023">
        <w:rPr>
          <w:sz w:val="20"/>
          <w:szCs w:val="20"/>
          <w:lang w:val="en-US"/>
        </w:rPr>
        <w:t xml:space="preserve"> </w:t>
      </w:r>
      <w:r w:rsidR="00F14C12" w:rsidRPr="00891023">
        <w:rPr>
          <w:sz w:val="20"/>
          <w:szCs w:val="20"/>
          <w:lang w:val="en-US"/>
        </w:rPr>
        <w:t xml:space="preserve">Journal of Industrial and Engineering Chemistry, 2020, Volume 83, </w:t>
      </w:r>
      <w:r w:rsidR="00891023">
        <w:rPr>
          <w:sz w:val="20"/>
          <w:szCs w:val="20"/>
          <w:lang w:val="en-US"/>
        </w:rPr>
        <w:t>p</w:t>
      </w:r>
      <w:r w:rsidR="00F14C12" w:rsidRPr="00891023">
        <w:rPr>
          <w:sz w:val="20"/>
          <w:szCs w:val="20"/>
          <w:lang w:val="en-US"/>
        </w:rPr>
        <w:t>ages 351-358</w:t>
      </w:r>
      <w:r w:rsidR="00647DA7" w:rsidRPr="00891023">
        <w:rPr>
          <w:sz w:val="20"/>
          <w:szCs w:val="20"/>
        </w:rPr>
        <w:t>.</w:t>
      </w:r>
    </w:p>
    <w:p w14:paraId="2C7BBEEC" w14:textId="77777777" w:rsidR="006B3D38" w:rsidRPr="00891023" w:rsidRDefault="00F14C12" w:rsidP="00891023">
      <w:pPr>
        <w:pStyle w:val="ab"/>
        <w:numPr>
          <w:ilvl w:val="0"/>
          <w:numId w:val="8"/>
        </w:numPr>
        <w:ind w:left="284" w:hanging="284"/>
        <w:jc w:val="both"/>
        <w:rPr>
          <w:sz w:val="20"/>
          <w:szCs w:val="20"/>
          <w:lang w:val="en-US"/>
        </w:rPr>
      </w:pPr>
      <w:r w:rsidRPr="00891023">
        <w:rPr>
          <w:sz w:val="20"/>
          <w:szCs w:val="20"/>
        </w:rPr>
        <w:t>A.V. Vutolkina</w:t>
      </w:r>
      <w:r w:rsidR="00861270" w:rsidRPr="00891023">
        <w:rPr>
          <w:sz w:val="20"/>
          <w:szCs w:val="20"/>
        </w:rPr>
        <w:t>.</w:t>
      </w:r>
      <w:r w:rsidRPr="00891023">
        <w:rPr>
          <w:sz w:val="20"/>
          <w:szCs w:val="20"/>
        </w:rPr>
        <w:t xml:space="preserve">, </w:t>
      </w:r>
      <w:r w:rsidRPr="00891023">
        <w:rPr>
          <w:sz w:val="20"/>
          <w:szCs w:val="20"/>
          <w:lang w:val="en-US"/>
        </w:rPr>
        <w:t>A</w:t>
      </w:r>
      <w:r w:rsidRPr="00891023">
        <w:rPr>
          <w:sz w:val="20"/>
          <w:szCs w:val="20"/>
        </w:rPr>
        <w:t>.</w:t>
      </w:r>
      <w:r w:rsidRPr="00891023">
        <w:rPr>
          <w:sz w:val="20"/>
          <w:szCs w:val="20"/>
          <w:lang w:val="en-US"/>
        </w:rPr>
        <w:t>P</w:t>
      </w:r>
      <w:r w:rsidRPr="00891023">
        <w:rPr>
          <w:sz w:val="20"/>
          <w:szCs w:val="20"/>
        </w:rPr>
        <w:t xml:space="preserve">. </w:t>
      </w:r>
      <w:r w:rsidRPr="00891023">
        <w:rPr>
          <w:sz w:val="20"/>
          <w:szCs w:val="20"/>
          <w:lang w:val="en-US"/>
        </w:rPr>
        <w:t>Glotov</w:t>
      </w:r>
      <w:r w:rsidRPr="00891023">
        <w:rPr>
          <w:sz w:val="20"/>
          <w:szCs w:val="20"/>
        </w:rPr>
        <w:t xml:space="preserve">, </w:t>
      </w:r>
      <w:r w:rsidRPr="00891023">
        <w:rPr>
          <w:sz w:val="20"/>
          <w:szCs w:val="20"/>
          <w:lang w:val="en-US"/>
        </w:rPr>
        <w:t>A</w:t>
      </w:r>
      <w:r w:rsidRPr="00891023">
        <w:rPr>
          <w:sz w:val="20"/>
          <w:szCs w:val="20"/>
        </w:rPr>
        <w:t>.</w:t>
      </w:r>
      <w:r w:rsidRPr="00891023">
        <w:rPr>
          <w:sz w:val="20"/>
          <w:szCs w:val="20"/>
          <w:lang w:val="en-US"/>
        </w:rPr>
        <w:t>V</w:t>
      </w:r>
      <w:r w:rsidRPr="00891023">
        <w:rPr>
          <w:sz w:val="20"/>
          <w:szCs w:val="20"/>
        </w:rPr>
        <w:t xml:space="preserve">. </w:t>
      </w:r>
      <w:r w:rsidRPr="00891023">
        <w:rPr>
          <w:sz w:val="20"/>
          <w:szCs w:val="20"/>
          <w:lang w:val="en-US"/>
        </w:rPr>
        <w:t>Zanina</w:t>
      </w:r>
      <w:r w:rsidRPr="00891023">
        <w:rPr>
          <w:sz w:val="20"/>
          <w:szCs w:val="20"/>
        </w:rPr>
        <w:t xml:space="preserve">, </w:t>
      </w:r>
      <w:r w:rsidRPr="00891023">
        <w:rPr>
          <w:sz w:val="20"/>
          <w:szCs w:val="20"/>
          <w:lang w:val="en-US"/>
        </w:rPr>
        <w:t>D</w:t>
      </w:r>
      <w:r w:rsidRPr="00891023">
        <w:rPr>
          <w:sz w:val="20"/>
          <w:szCs w:val="20"/>
        </w:rPr>
        <w:t>.</w:t>
      </w:r>
      <w:r w:rsidRPr="00891023">
        <w:rPr>
          <w:sz w:val="20"/>
          <w:szCs w:val="20"/>
          <w:lang w:val="en-US"/>
        </w:rPr>
        <w:t>F</w:t>
      </w:r>
      <w:r w:rsidRPr="00891023">
        <w:rPr>
          <w:sz w:val="20"/>
          <w:szCs w:val="20"/>
        </w:rPr>
        <w:t xml:space="preserve">. </w:t>
      </w:r>
      <w:r w:rsidRPr="00891023">
        <w:rPr>
          <w:sz w:val="20"/>
          <w:szCs w:val="20"/>
          <w:lang w:val="en-US"/>
        </w:rPr>
        <w:t>Makhmutov</w:t>
      </w:r>
      <w:r w:rsidRPr="00891023">
        <w:rPr>
          <w:sz w:val="20"/>
          <w:szCs w:val="20"/>
        </w:rPr>
        <w:t xml:space="preserve">, </w:t>
      </w:r>
      <w:r w:rsidRPr="00891023">
        <w:rPr>
          <w:sz w:val="20"/>
          <w:szCs w:val="20"/>
          <w:lang w:val="en-US"/>
        </w:rPr>
        <w:t>A</w:t>
      </w:r>
      <w:r w:rsidRPr="00891023">
        <w:rPr>
          <w:sz w:val="20"/>
          <w:szCs w:val="20"/>
        </w:rPr>
        <w:t>.</w:t>
      </w:r>
      <w:r w:rsidRPr="00891023">
        <w:rPr>
          <w:sz w:val="20"/>
          <w:szCs w:val="20"/>
          <w:lang w:val="en-US"/>
        </w:rPr>
        <w:t>L</w:t>
      </w:r>
      <w:r w:rsidRPr="00891023">
        <w:rPr>
          <w:sz w:val="20"/>
          <w:szCs w:val="20"/>
        </w:rPr>
        <w:t xml:space="preserve">. </w:t>
      </w:r>
      <w:r w:rsidRPr="00891023">
        <w:rPr>
          <w:sz w:val="20"/>
          <w:szCs w:val="20"/>
          <w:lang w:val="en-US"/>
        </w:rPr>
        <w:t>Maximov</w:t>
      </w:r>
      <w:r w:rsidRPr="00891023">
        <w:rPr>
          <w:sz w:val="20"/>
          <w:szCs w:val="20"/>
        </w:rPr>
        <w:t xml:space="preserve">, </w:t>
      </w:r>
      <w:r w:rsidRPr="00891023">
        <w:rPr>
          <w:sz w:val="20"/>
          <w:szCs w:val="20"/>
          <w:lang w:val="en-US"/>
        </w:rPr>
        <w:t>S</w:t>
      </w:r>
      <w:r w:rsidRPr="00891023">
        <w:rPr>
          <w:sz w:val="20"/>
          <w:szCs w:val="20"/>
        </w:rPr>
        <w:t>.</w:t>
      </w:r>
      <w:r w:rsidRPr="00891023">
        <w:rPr>
          <w:sz w:val="20"/>
          <w:szCs w:val="20"/>
          <w:lang w:val="en-US"/>
        </w:rPr>
        <w:t>V</w:t>
      </w:r>
      <w:r w:rsidRPr="00891023">
        <w:rPr>
          <w:sz w:val="20"/>
          <w:szCs w:val="20"/>
        </w:rPr>
        <w:t xml:space="preserve">. </w:t>
      </w:r>
      <w:r w:rsidRPr="00891023">
        <w:rPr>
          <w:sz w:val="20"/>
          <w:szCs w:val="20"/>
          <w:lang w:val="en-US"/>
        </w:rPr>
        <w:t>Egazar</w:t>
      </w:r>
      <w:r w:rsidRPr="00891023">
        <w:rPr>
          <w:sz w:val="20"/>
          <w:szCs w:val="20"/>
        </w:rPr>
        <w:t>’</w:t>
      </w:r>
      <w:r w:rsidRPr="00891023">
        <w:rPr>
          <w:sz w:val="20"/>
          <w:szCs w:val="20"/>
          <w:lang w:val="en-US"/>
        </w:rPr>
        <w:t>yants</w:t>
      </w:r>
      <w:r w:rsidRPr="00891023">
        <w:rPr>
          <w:sz w:val="20"/>
          <w:szCs w:val="20"/>
        </w:rPr>
        <w:t xml:space="preserve">, E.A. Karakhanov. </w:t>
      </w:r>
      <w:r w:rsidRPr="00891023">
        <w:rPr>
          <w:sz w:val="20"/>
          <w:szCs w:val="20"/>
          <w:lang w:val="en-US"/>
        </w:rPr>
        <w:t xml:space="preserve">Mesoporous Al-HMS and Al-MCM-41 supported Ni-Mo sulfide catalysts for HYD and HDS via in situ hydrogen generation through a WGSR. Catalysis Today, 2019, Volume 329, </w:t>
      </w:r>
      <w:r w:rsidR="00891023">
        <w:rPr>
          <w:sz w:val="20"/>
          <w:szCs w:val="20"/>
          <w:lang w:val="en-US"/>
        </w:rPr>
        <w:t>p</w:t>
      </w:r>
      <w:r w:rsidRPr="00891023">
        <w:rPr>
          <w:sz w:val="20"/>
          <w:szCs w:val="20"/>
          <w:lang w:val="en-US"/>
        </w:rPr>
        <w:t>ages 156-166.</w:t>
      </w:r>
    </w:p>
    <w:p w14:paraId="22582F0A" w14:textId="77777777" w:rsidR="006B3D38" w:rsidRPr="00891023" w:rsidRDefault="002504D7" w:rsidP="00891023">
      <w:pPr>
        <w:pStyle w:val="Default"/>
        <w:numPr>
          <w:ilvl w:val="0"/>
          <w:numId w:val="8"/>
        </w:numPr>
        <w:ind w:left="284" w:hanging="284"/>
        <w:jc w:val="both"/>
        <w:rPr>
          <w:sz w:val="20"/>
          <w:szCs w:val="20"/>
          <w:lang w:val="en-US"/>
        </w:rPr>
      </w:pPr>
      <w:r w:rsidRPr="00891023">
        <w:rPr>
          <w:sz w:val="20"/>
          <w:szCs w:val="20"/>
          <w:lang w:val="en-US"/>
        </w:rPr>
        <w:t xml:space="preserve">H.G. El-Shobaky, Y.M. Fahmy. Nickel cuprate supported on cordierite as an active catalyst for CO oxidation by O2. Applied Catalysis B: Environmental, 2006, Volume 63, Issues 3–4, </w:t>
      </w:r>
      <w:r w:rsidR="00891023">
        <w:rPr>
          <w:sz w:val="20"/>
          <w:szCs w:val="20"/>
          <w:lang w:val="en-US"/>
        </w:rPr>
        <w:t>p</w:t>
      </w:r>
      <w:r w:rsidRPr="00891023">
        <w:rPr>
          <w:sz w:val="20"/>
          <w:szCs w:val="20"/>
          <w:lang w:val="en-US"/>
        </w:rPr>
        <w:t>ages 168-177</w:t>
      </w:r>
      <w:r w:rsidR="004F142C" w:rsidRPr="00891023">
        <w:rPr>
          <w:sz w:val="20"/>
          <w:szCs w:val="20"/>
          <w:lang w:val="en-US"/>
        </w:rPr>
        <w:t>.</w:t>
      </w:r>
      <w:r w:rsidR="006B3D38" w:rsidRPr="00891023">
        <w:rPr>
          <w:sz w:val="20"/>
          <w:szCs w:val="20"/>
          <w:lang w:val="en-US"/>
        </w:rPr>
        <w:t xml:space="preserve"> </w:t>
      </w:r>
    </w:p>
    <w:p w14:paraId="2C115B2A" w14:textId="77777777" w:rsidR="00E32DF8" w:rsidRPr="00891023" w:rsidRDefault="00E32DF8" w:rsidP="00891023">
      <w:pPr>
        <w:pStyle w:val="ab"/>
        <w:numPr>
          <w:ilvl w:val="0"/>
          <w:numId w:val="8"/>
        </w:numPr>
        <w:ind w:left="284" w:hanging="284"/>
        <w:jc w:val="both"/>
        <w:rPr>
          <w:sz w:val="20"/>
          <w:szCs w:val="20"/>
          <w:lang w:val="en-US"/>
        </w:rPr>
      </w:pPr>
      <w:r w:rsidRPr="00891023">
        <w:rPr>
          <w:sz w:val="20"/>
          <w:szCs w:val="20"/>
          <w:lang w:val="en-US"/>
        </w:rPr>
        <w:t xml:space="preserve">Knyazheva O.A., Baklanova O.N., Lavrenov A.V. Mechanochemical synthesis of nanocrystalline nickel-molybdenum compounds, their morphology and application in catalysis: I. Effect of the Ni: Mo atomic ratio on the structure and properties of nickel-molybdenum compounds prepared under mechanochemical synthesis conditions // Kinetics and Catalysis. 2011. </w:t>
      </w:r>
      <w:r w:rsidR="004F142C" w:rsidRPr="00891023">
        <w:rPr>
          <w:sz w:val="20"/>
          <w:szCs w:val="20"/>
          <w:lang w:val="en-US"/>
        </w:rPr>
        <w:t xml:space="preserve">– </w:t>
      </w:r>
      <w:r w:rsidR="00891023">
        <w:rPr>
          <w:sz w:val="20"/>
          <w:szCs w:val="20"/>
          <w:lang w:val="en-US"/>
        </w:rPr>
        <w:t>V</w:t>
      </w:r>
      <w:r w:rsidRPr="00891023">
        <w:rPr>
          <w:sz w:val="20"/>
          <w:szCs w:val="20"/>
          <w:lang w:val="en-US"/>
        </w:rPr>
        <w:t xml:space="preserve">. 52. </w:t>
      </w:r>
      <w:r w:rsidR="004F142C" w:rsidRPr="00891023">
        <w:rPr>
          <w:sz w:val="20"/>
          <w:szCs w:val="20"/>
          <w:lang w:val="en-US"/>
        </w:rPr>
        <w:t xml:space="preserve">– </w:t>
      </w:r>
      <w:r w:rsidRPr="00891023">
        <w:rPr>
          <w:sz w:val="20"/>
          <w:szCs w:val="20"/>
          <w:lang w:val="en-US"/>
        </w:rPr>
        <w:t xml:space="preserve">№ 6. </w:t>
      </w:r>
      <w:r w:rsidR="004F142C" w:rsidRPr="00891023">
        <w:rPr>
          <w:sz w:val="20"/>
          <w:szCs w:val="20"/>
          <w:lang w:val="en-US"/>
        </w:rPr>
        <w:t xml:space="preserve">– </w:t>
      </w:r>
      <w:r w:rsidR="00891023">
        <w:rPr>
          <w:sz w:val="20"/>
          <w:szCs w:val="20"/>
          <w:lang w:val="en-US"/>
        </w:rPr>
        <w:t xml:space="preserve">pages </w:t>
      </w:r>
      <w:r w:rsidRPr="00891023">
        <w:rPr>
          <w:sz w:val="20"/>
          <w:szCs w:val="20"/>
          <w:lang w:val="en-US"/>
        </w:rPr>
        <w:t>886-895.</w:t>
      </w:r>
    </w:p>
    <w:p w14:paraId="30E32D81" w14:textId="77777777" w:rsidR="00DF2B6C" w:rsidRPr="00891023" w:rsidRDefault="002504D7" w:rsidP="00891023">
      <w:pPr>
        <w:pStyle w:val="ab"/>
        <w:numPr>
          <w:ilvl w:val="0"/>
          <w:numId w:val="8"/>
        </w:numPr>
        <w:ind w:left="284" w:hanging="284"/>
        <w:jc w:val="both"/>
        <w:rPr>
          <w:sz w:val="20"/>
          <w:szCs w:val="20"/>
          <w:lang w:val="en-US"/>
        </w:rPr>
      </w:pPr>
      <w:r w:rsidRPr="00891023">
        <w:rPr>
          <w:sz w:val="20"/>
          <w:szCs w:val="20"/>
          <w:lang w:val="en-US"/>
        </w:rPr>
        <w:t>Zhenghao Wang, Li Wang, Yongkang Cui, Yi Xing, Wei Su. Research on nickel-based catalysts for carbon dioxide methanation combined with literature measurement. Journal of CO2 Utilization, 2022, Volume 63, 102117.</w:t>
      </w:r>
    </w:p>
    <w:p w14:paraId="16558023" w14:textId="77777777" w:rsidR="00784A12" w:rsidRPr="00891023" w:rsidRDefault="009A46B3" w:rsidP="00891023">
      <w:pPr>
        <w:pStyle w:val="ab"/>
        <w:numPr>
          <w:ilvl w:val="0"/>
          <w:numId w:val="8"/>
        </w:numPr>
        <w:ind w:left="284" w:hanging="284"/>
        <w:jc w:val="both"/>
        <w:rPr>
          <w:sz w:val="20"/>
          <w:szCs w:val="20"/>
        </w:rPr>
      </w:pPr>
      <w:r w:rsidRPr="00891023">
        <w:rPr>
          <w:sz w:val="20"/>
          <w:szCs w:val="20"/>
          <w:lang w:val="en-US"/>
        </w:rPr>
        <w:t>Guseinova E.A., Adzhamov K.Yu. Electron properties of the system of Ni on kieselguhr. Russian Journal of Physical Chemistry A., 2011, V</w:t>
      </w:r>
      <w:r w:rsidRPr="00891023">
        <w:rPr>
          <w:sz w:val="20"/>
          <w:szCs w:val="20"/>
        </w:rPr>
        <w:t xml:space="preserve">. 85. № 11. </w:t>
      </w:r>
      <w:r w:rsidRPr="00891023">
        <w:rPr>
          <w:sz w:val="20"/>
          <w:szCs w:val="20"/>
          <w:lang w:val="en-US"/>
        </w:rPr>
        <w:t>pages</w:t>
      </w:r>
      <w:r w:rsidRPr="00891023">
        <w:rPr>
          <w:sz w:val="20"/>
          <w:szCs w:val="20"/>
        </w:rPr>
        <w:t xml:space="preserve"> 1965-1970.</w:t>
      </w:r>
    </w:p>
    <w:p w14:paraId="6921831F" w14:textId="77777777" w:rsidR="000174C3" w:rsidRPr="00891023" w:rsidRDefault="00A66427" w:rsidP="00891023">
      <w:pPr>
        <w:pStyle w:val="ab"/>
        <w:numPr>
          <w:ilvl w:val="0"/>
          <w:numId w:val="8"/>
        </w:numPr>
        <w:ind w:left="284" w:hanging="284"/>
        <w:jc w:val="both"/>
        <w:rPr>
          <w:sz w:val="20"/>
          <w:szCs w:val="20"/>
        </w:rPr>
      </w:pPr>
      <w:r w:rsidRPr="00891023">
        <w:rPr>
          <w:sz w:val="20"/>
          <w:szCs w:val="20"/>
          <w:lang w:val="en-US"/>
        </w:rPr>
        <w:t xml:space="preserve">Guseynova E.A., Adzhamov K.Yu. Electronic properties of the nickel surface compound in the conversion of isopropyl alcohol. </w:t>
      </w:r>
      <w:r w:rsidR="000174C3" w:rsidRPr="00891023">
        <w:rPr>
          <w:sz w:val="20"/>
          <w:szCs w:val="20"/>
          <w:lang w:val="en-US"/>
        </w:rPr>
        <w:t xml:space="preserve"> </w:t>
      </w:r>
      <w:r w:rsidRPr="00891023">
        <w:rPr>
          <w:sz w:val="20"/>
          <w:szCs w:val="20"/>
        </w:rPr>
        <w:t>Herald</w:t>
      </w:r>
      <w:r w:rsidRPr="00891023">
        <w:rPr>
          <w:sz w:val="20"/>
          <w:szCs w:val="20"/>
          <w:lang w:val="en-US"/>
        </w:rPr>
        <w:t xml:space="preserve"> of the Azebaijan Engineering Academy</w:t>
      </w:r>
      <w:r w:rsidR="00941C75" w:rsidRPr="00891023">
        <w:rPr>
          <w:sz w:val="20"/>
          <w:szCs w:val="20"/>
          <w:lang w:val="en-US"/>
        </w:rPr>
        <w:t xml:space="preserve"> 2014</w:t>
      </w:r>
      <w:r w:rsidRPr="00891023">
        <w:rPr>
          <w:sz w:val="20"/>
          <w:szCs w:val="20"/>
          <w:lang w:val="en-US"/>
        </w:rPr>
        <w:t>, V</w:t>
      </w:r>
      <w:r w:rsidR="00941C75" w:rsidRPr="00891023">
        <w:rPr>
          <w:sz w:val="20"/>
          <w:szCs w:val="20"/>
        </w:rPr>
        <w:t>.6</w:t>
      </w:r>
      <w:r w:rsidRPr="00891023">
        <w:rPr>
          <w:sz w:val="20"/>
          <w:szCs w:val="20"/>
          <w:lang w:val="en-US"/>
        </w:rPr>
        <w:t xml:space="preserve">, </w:t>
      </w:r>
      <w:r w:rsidR="00941C75" w:rsidRPr="00891023">
        <w:rPr>
          <w:sz w:val="20"/>
          <w:szCs w:val="20"/>
        </w:rPr>
        <w:t>№1</w:t>
      </w:r>
      <w:r w:rsidRPr="00891023">
        <w:rPr>
          <w:sz w:val="20"/>
          <w:szCs w:val="20"/>
          <w:lang w:val="en-US"/>
        </w:rPr>
        <w:t xml:space="preserve">, pages </w:t>
      </w:r>
      <w:r w:rsidR="000174C3" w:rsidRPr="00891023">
        <w:rPr>
          <w:sz w:val="20"/>
          <w:szCs w:val="20"/>
        </w:rPr>
        <w:t>113-119.</w:t>
      </w:r>
    </w:p>
    <w:p w14:paraId="45B0363F" w14:textId="77777777" w:rsidR="000174C3" w:rsidRPr="00891023" w:rsidRDefault="00A66427" w:rsidP="00891023">
      <w:pPr>
        <w:pStyle w:val="ab"/>
        <w:numPr>
          <w:ilvl w:val="0"/>
          <w:numId w:val="8"/>
        </w:numPr>
        <w:ind w:left="284" w:hanging="284"/>
        <w:jc w:val="both"/>
        <w:rPr>
          <w:sz w:val="20"/>
          <w:szCs w:val="20"/>
          <w:lang w:val="en-US"/>
        </w:rPr>
      </w:pPr>
      <w:r w:rsidRPr="00891023">
        <w:rPr>
          <w:sz w:val="20"/>
          <w:szCs w:val="20"/>
          <w:lang w:val="en-US"/>
        </w:rPr>
        <w:t xml:space="preserve">E.Guseynova, E.Zeynalov, K.Adzhamov. Physicochemical and catalytic properties of nano-nickel in the process of conversion of isopropyl alcohol to acetone. Nanoindustry, </w:t>
      </w:r>
      <w:r w:rsidR="00941C75" w:rsidRPr="00891023">
        <w:rPr>
          <w:sz w:val="20"/>
          <w:szCs w:val="20"/>
          <w:lang w:val="en-US"/>
        </w:rPr>
        <w:t>2014</w:t>
      </w:r>
      <w:r w:rsidRPr="00891023">
        <w:rPr>
          <w:sz w:val="20"/>
          <w:szCs w:val="20"/>
          <w:lang w:val="en-US"/>
        </w:rPr>
        <w:t xml:space="preserve">, </w:t>
      </w:r>
      <w:r w:rsidR="00941C75" w:rsidRPr="00891023">
        <w:rPr>
          <w:sz w:val="20"/>
          <w:szCs w:val="20"/>
          <w:lang w:val="en-US"/>
        </w:rPr>
        <w:t>№5</w:t>
      </w:r>
      <w:r w:rsidRPr="00891023">
        <w:rPr>
          <w:sz w:val="20"/>
          <w:szCs w:val="20"/>
          <w:lang w:val="en-US"/>
        </w:rPr>
        <w:t xml:space="preserve">, pages </w:t>
      </w:r>
      <w:r w:rsidR="000174C3" w:rsidRPr="00891023">
        <w:rPr>
          <w:sz w:val="20"/>
          <w:szCs w:val="20"/>
          <w:lang w:val="en-US"/>
        </w:rPr>
        <w:t>46-53.</w:t>
      </w:r>
    </w:p>
    <w:p w14:paraId="141DDDA4" w14:textId="77777777" w:rsidR="000174C3" w:rsidRPr="00891023" w:rsidRDefault="00243526" w:rsidP="00891023">
      <w:pPr>
        <w:pStyle w:val="ab"/>
        <w:numPr>
          <w:ilvl w:val="0"/>
          <w:numId w:val="8"/>
        </w:numPr>
        <w:ind w:left="284" w:hanging="284"/>
        <w:jc w:val="both"/>
        <w:rPr>
          <w:sz w:val="20"/>
          <w:szCs w:val="20"/>
        </w:rPr>
      </w:pPr>
      <w:r w:rsidRPr="00891023">
        <w:rPr>
          <w:sz w:val="20"/>
          <w:szCs w:val="20"/>
          <w:lang w:val="en-US"/>
        </w:rPr>
        <w:t xml:space="preserve">E. A. Guseinova, E. T. Zeinalov, K. Yu. Adzhamov. Commercial nickel-kieselguhr isopropanol dehydrogenation catalysts: Morphology and catalytic and electronic properties. </w:t>
      </w:r>
      <w:r w:rsidR="00A73152" w:rsidRPr="00891023">
        <w:rPr>
          <w:sz w:val="20"/>
          <w:szCs w:val="20"/>
          <w:lang w:val="en-US"/>
        </w:rPr>
        <w:t>Catalysis in Industry, 2015,</w:t>
      </w:r>
      <w:r w:rsidR="000174C3" w:rsidRPr="00891023">
        <w:rPr>
          <w:sz w:val="20"/>
          <w:szCs w:val="20"/>
          <w:lang w:val="en-US"/>
        </w:rPr>
        <w:t xml:space="preserve"> </w:t>
      </w:r>
      <w:r w:rsidR="00A73152" w:rsidRPr="00891023">
        <w:rPr>
          <w:sz w:val="20"/>
          <w:szCs w:val="20"/>
          <w:lang w:val="en-US"/>
        </w:rPr>
        <w:t xml:space="preserve">Volume 7, issue 3 </w:t>
      </w:r>
      <w:r w:rsidR="00891023">
        <w:rPr>
          <w:sz w:val="20"/>
          <w:szCs w:val="20"/>
          <w:lang w:val="en-US"/>
        </w:rPr>
        <w:t>p</w:t>
      </w:r>
      <w:r w:rsidR="00A73152" w:rsidRPr="00891023">
        <w:rPr>
          <w:sz w:val="20"/>
          <w:szCs w:val="20"/>
          <w:lang w:val="en-US"/>
        </w:rPr>
        <w:t>ages: 227 – 233.</w:t>
      </w:r>
    </w:p>
    <w:p w14:paraId="58CC8C62" w14:textId="30BE31D4" w:rsidR="00E26D15" w:rsidRPr="00891023" w:rsidRDefault="009D2B25" w:rsidP="00891023">
      <w:pPr>
        <w:pStyle w:val="ab"/>
        <w:numPr>
          <w:ilvl w:val="0"/>
          <w:numId w:val="8"/>
        </w:numPr>
        <w:ind w:left="284" w:hanging="284"/>
        <w:jc w:val="both"/>
        <w:rPr>
          <w:sz w:val="20"/>
          <w:szCs w:val="20"/>
        </w:rPr>
      </w:pPr>
      <w:r w:rsidRPr="00891023">
        <w:rPr>
          <w:sz w:val="20"/>
          <w:szCs w:val="20"/>
          <w:lang w:val="en-US"/>
        </w:rPr>
        <w:t>V</w:t>
      </w:r>
      <w:r w:rsidR="00B66944" w:rsidRPr="00891023">
        <w:rPr>
          <w:sz w:val="20"/>
          <w:szCs w:val="20"/>
          <w:lang w:val="en-US"/>
        </w:rPr>
        <w:t>.</w:t>
      </w:r>
      <w:r w:rsidRPr="00891023">
        <w:rPr>
          <w:sz w:val="20"/>
          <w:szCs w:val="20"/>
          <w:lang w:val="en-US"/>
        </w:rPr>
        <w:t>V</w:t>
      </w:r>
      <w:r w:rsidR="00B66944" w:rsidRPr="00891023">
        <w:rPr>
          <w:sz w:val="20"/>
          <w:szCs w:val="20"/>
          <w:lang w:val="en-US"/>
        </w:rPr>
        <w:t>.</w:t>
      </w:r>
      <w:r w:rsidRPr="00891023">
        <w:rPr>
          <w:sz w:val="20"/>
          <w:szCs w:val="20"/>
          <w:lang w:val="en-US"/>
        </w:rPr>
        <w:t xml:space="preserve"> Zyryanov. Mechanochemical synthesis of complex oxides. </w:t>
      </w:r>
      <w:bookmarkStart w:id="0" w:name="_Hlk126702046"/>
      <w:r w:rsidRPr="00891023">
        <w:rPr>
          <w:sz w:val="20"/>
          <w:szCs w:val="20"/>
        </w:rPr>
        <w:t xml:space="preserve">Russian Chemical Reviews, </w:t>
      </w:r>
      <w:bookmarkEnd w:id="0"/>
      <w:r w:rsidRPr="00891023">
        <w:rPr>
          <w:sz w:val="20"/>
          <w:szCs w:val="20"/>
        </w:rPr>
        <w:t xml:space="preserve">2008, </w:t>
      </w:r>
      <w:r w:rsidR="001472EE">
        <w:rPr>
          <w:sz w:val="20"/>
          <w:szCs w:val="20"/>
          <w:lang w:val="en-US"/>
        </w:rPr>
        <w:t>V.</w:t>
      </w:r>
      <w:r w:rsidRPr="00891023">
        <w:rPr>
          <w:sz w:val="20"/>
          <w:szCs w:val="20"/>
        </w:rPr>
        <w:t>77</w:t>
      </w:r>
      <w:r w:rsidR="001472EE">
        <w:rPr>
          <w:sz w:val="20"/>
          <w:szCs w:val="20"/>
          <w:lang w:val="en-US"/>
        </w:rPr>
        <w:t>, N</w:t>
      </w:r>
      <w:r w:rsidRPr="00891023">
        <w:rPr>
          <w:sz w:val="20"/>
          <w:szCs w:val="20"/>
        </w:rPr>
        <w:t xml:space="preserve"> 2, </w:t>
      </w:r>
      <w:r w:rsidR="00891023">
        <w:rPr>
          <w:sz w:val="20"/>
          <w:szCs w:val="20"/>
          <w:lang w:val="en-US"/>
        </w:rPr>
        <w:t xml:space="preserve">pages </w:t>
      </w:r>
      <w:r w:rsidRPr="00891023">
        <w:rPr>
          <w:sz w:val="20"/>
          <w:szCs w:val="20"/>
        </w:rPr>
        <w:t>105–135</w:t>
      </w:r>
      <w:r w:rsidRPr="00891023">
        <w:rPr>
          <w:sz w:val="20"/>
          <w:szCs w:val="20"/>
          <w:lang w:val="en-US"/>
        </w:rPr>
        <w:t>.</w:t>
      </w:r>
    </w:p>
    <w:p w14:paraId="3A326118" w14:textId="46F63B50" w:rsidR="00245764" w:rsidRPr="00891023" w:rsidRDefault="009D2B25" w:rsidP="00891023">
      <w:pPr>
        <w:pStyle w:val="ab"/>
        <w:numPr>
          <w:ilvl w:val="0"/>
          <w:numId w:val="8"/>
        </w:numPr>
        <w:ind w:left="284" w:hanging="284"/>
        <w:jc w:val="both"/>
        <w:rPr>
          <w:sz w:val="20"/>
          <w:szCs w:val="20"/>
        </w:rPr>
      </w:pPr>
      <w:r w:rsidRPr="00891023">
        <w:rPr>
          <w:sz w:val="20"/>
          <w:szCs w:val="20"/>
          <w:lang w:val="en-US"/>
        </w:rPr>
        <w:t>V</w:t>
      </w:r>
      <w:r w:rsidR="00B66944" w:rsidRPr="00891023">
        <w:rPr>
          <w:sz w:val="20"/>
          <w:szCs w:val="20"/>
          <w:lang w:val="en-US"/>
        </w:rPr>
        <w:t>.</w:t>
      </w:r>
      <w:r w:rsidRPr="00891023">
        <w:rPr>
          <w:sz w:val="20"/>
          <w:szCs w:val="20"/>
          <w:lang w:val="en-US"/>
        </w:rPr>
        <w:t>V</w:t>
      </w:r>
      <w:r w:rsidR="00B66944" w:rsidRPr="00891023">
        <w:rPr>
          <w:sz w:val="20"/>
          <w:szCs w:val="20"/>
          <w:lang w:val="en-US"/>
        </w:rPr>
        <w:t>.</w:t>
      </w:r>
      <w:r w:rsidRPr="00891023">
        <w:rPr>
          <w:sz w:val="20"/>
          <w:szCs w:val="20"/>
          <w:lang w:val="en-US"/>
        </w:rPr>
        <w:t xml:space="preserve"> Boldyrev. Mechanochemistry and mechanical activation of solids. Russian Chemical Reviews, </w:t>
      </w:r>
      <w:r w:rsidRPr="00891023">
        <w:rPr>
          <w:sz w:val="20"/>
          <w:szCs w:val="20"/>
        </w:rPr>
        <w:t xml:space="preserve">2006, </w:t>
      </w:r>
      <w:r w:rsidR="001472EE">
        <w:rPr>
          <w:sz w:val="20"/>
          <w:szCs w:val="20"/>
          <w:lang w:val="en-US"/>
        </w:rPr>
        <w:t xml:space="preserve">V. </w:t>
      </w:r>
      <w:r w:rsidRPr="00891023">
        <w:rPr>
          <w:sz w:val="20"/>
          <w:szCs w:val="20"/>
        </w:rPr>
        <w:t xml:space="preserve">75 </w:t>
      </w:r>
      <w:r w:rsidR="001472EE">
        <w:rPr>
          <w:sz w:val="20"/>
          <w:szCs w:val="20"/>
          <w:lang w:val="en-US"/>
        </w:rPr>
        <w:t xml:space="preserve">N </w:t>
      </w:r>
      <w:r w:rsidRPr="00891023">
        <w:rPr>
          <w:sz w:val="20"/>
          <w:szCs w:val="20"/>
        </w:rPr>
        <w:t xml:space="preserve">3, </w:t>
      </w:r>
      <w:r w:rsidR="00891023">
        <w:rPr>
          <w:sz w:val="20"/>
          <w:szCs w:val="20"/>
          <w:lang w:val="en-US"/>
        </w:rPr>
        <w:t xml:space="preserve">pages </w:t>
      </w:r>
      <w:r w:rsidRPr="00891023">
        <w:rPr>
          <w:sz w:val="20"/>
          <w:szCs w:val="20"/>
        </w:rPr>
        <w:t>177–189</w:t>
      </w:r>
      <w:r w:rsidRPr="00891023">
        <w:rPr>
          <w:sz w:val="20"/>
          <w:szCs w:val="20"/>
          <w:lang w:val="en-US"/>
        </w:rPr>
        <w:t>.</w:t>
      </w:r>
    </w:p>
    <w:p w14:paraId="39C3B939" w14:textId="77777777" w:rsidR="00E26D15" w:rsidRPr="00891023" w:rsidRDefault="00E26D15" w:rsidP="00876FEA">
      <w:pPr>
        <w:ind w:firstLine="709"/>
        <w:jc w:val="both"/>
        <w:rPr>
          <w:sz w:val="20"/>
          <w:szCs w:val="20"/>
        </w:rPr>
      </w:pPr>
    </w:p>
    <w:p w14:paraId="24A5A1F1" w14:textId="77777777" w:rsidR="00180B1D" w:rsidRDefault="00180B1D" w:rsidP="00876FEA">
      <w:pPr>
        <w:ind w:left="170" w:firstLine="1134"/>
        <w:jc w:val="both"/>
      </w:pPr>
    </w:p>
    <w:sectPr w:rsidR="00180B1D" w:rsidSect="00E57427">
      <w:footerReference w:type="default"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17E0" w14:textId="77777777" w:rsidR="00EA4171" w:rsidRDefault="00EA4171" w:rsidP="00393106">
      <w:r>
        <w:separator/>
      </w:r>
    </w:p>
  </w:endnote>
  <w:endnote w:type="continuationSeparator" w:id="0">
    <w:p w14:paraId="798BFB86" w14:textId="77777777" w:rsidR="00EA4171" w:rsidRDefault="00EA4171" w:rsidP="0039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491044"/>
      <w:docPartObj>
        <w:docPartGallery w:val="Page Numbers (Bottom of Page)"/>
        <w:docPartUnique/>
      </w:docPartObj>
    </w:sdtPr>
    <w:sdtEndPr/>
    <w:sdtContent>
      <w:p w14:paraId="6A4293C7" w14:textId="77777777" w:rsidR="00FB0EE1" w:rsidRDefault="00FB0EE1">
        <w:pPr>
          <w:pStyle w:val="a9"/>
          <w:jc w:val="center"/>
        </w:pPr>
        <w:r>
          <w:fldChar w:fldCharType="begin"/>
        </w:r>
        <w:r>
          <w:instrText>PAGE   \* MERGEFORMAT</w:instrText>
        </w:r>
        <w:r>
          <w:fldChar w:fldCharType="separate"/>
        </w:r>
        <w:r w:rsidR="00E75D1D">
          <w:rPr>
            <w:noProof/>
          </w:rPr>
          <w:t>9</w:t>
        </w:r>
        <w:r>
          <w:fldChar w:fldCharType="end"/>
        </w:r>
      </w:p>
    </w:sdtContent>
  </w:sdt>
  <w:p w14:paraId="172C3620" w14:textId="77777777" w:rsidR="00FB0EE1" w:rsidRDefault="00FB0E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9073" w14:textId="77777777" w:rsidR="00EA4171" w:rsidRDefault="00EA4171" w:rsidP="00393106">
      <w:r>
        <w:separator/>
      </w:r>
    </w:p>
  </w:footnote>
  <w:footnote w:type="continuationSeparator" w:id="0">
    <w:p w14:paraId="25FDB3E6" w14:textId="77777777" w:rsidR="00EA4171" w:rsidRDefault="00EA4171" w:rsidP="00393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DE1"/>
    <w:multiLevelType w:val="hybridMultilevel"/>
    <w:tmpl w:val="3F7E2FE8"/>
    <w:lvl w:ilvl="0" w:tplc="C7B27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2349FA"/>
    <w:multiLevelType w:val="hybridMultilevel"/>
    <w:tmpl w:val="7376D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22235D"/>
    <w:multiLevelType w:val="hybridMultilevel"/>
    <w:tmpl w:val="D49A9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8E26A8"/>
    <w:multiLevelType w:val="singleLevel"/>
    <w:tmpl w:val="77EE512C"/>
    <w:lvl w:ilvl="0">
      <w:start w:val="1"/>
      <w:numFmt w:val="decimal"/>
      <w:lvlText w:val="%1."/>
      <w:legacy w:legacy="1" w:legacySpace="0" w:legacyIndent="283"/>
      <w:lvlJc w:val="left"/>
      <w:pPr>
        <w:ind w:left="283" w:hanging="283"/>
      </w:pPr>
    </w:lvl>
  </w:abstractNum>
  <w:abstractNum w:abstractNumId="4" w15:restartNumberingAfterBreak="0">
    <w:nsid w:val="48A52056"/>
    <w:multiLevelType w:val="hybridMultilevel"/>
    <w:tmpl w:val="A490D8E6"/>
    <w:lvl w:ilvl="0" w:tplc="05140F1C">
      <w:start w:val="1"/>
      <w:numFmt w:val="bullet"/>
      <w:lvlText w:val=""/>
      <w:lvlJc w:val="left"/>
      <w:pPr>
        <w:tabs>
          <w:tab w:val="num" w:pos="1520"/>
        </w:tabs>
        <w:ind w:left="1520" w:hanging="360"/>
      </w:pPr>
      <w:rPr>
        <w:rFonts w:ascii="Symbol" w:hAnsi="Symbol" w:hint="default"/>
      </w:rPr>
    </w:lvl>
    <w:lvl w:ilvl="1" w:tplc="A5D0B85C">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D0528D"/>
    <w:multiLevelType w:val="hybridMultilevel"/>
    <w:tmpl w:val="49CED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2F21E43"/>
    <w:multiLevelType w:val="hybridMultilevel"/>
    <w:tmpl w:val="A90CAC82"/>
    <w:lvl w:ilvl="0" w:tplc="8C563D1A">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6BF267F9"/>
    <w:multiLevelType w:val="hybridMultilevel"/>
    <w:tmpl w:val="251AADBE"/>
    <w:lvl w:ilvl="0" w:tplc="0419000F">
      <w:start w:val="1"/>
      <w:numFmt w:val="decimal"/>
      <w:lvlText w:val="%1."/>
      <w:lvlJc w:val="left"/>
      <w:pPr>
        <w:tabs>
          <w:tab w:val="num" w:pos="1725"/>
        </w:tabs>
        <w:ind w:left="1725" w:hanging="360"/>
      </w:pPr>
    </w:lvl>
    <w:lvl w:ilvl="1" w:tplc="04190019" w:tentative="1">
      <w:start w:val="1"/>
      <w:numFmt w:val="lowerLetter"/>
      <w:lvlText w:val="%2."/>
      <w:lvlJc w:val="left"/>
      <w:pPr>
        <w:tabs>
          <w:tab w:val="num" w:pos="2445"/>
        </w:tabs>
        <w:ind w:left="2445" w:hanging="360"/>
      </w:pPr>
    </w:lvl>
    <w:lvl w:ilvl="2" w:tplc="0419001B" w:tentative="1">
      <w:start w:val="1"/>
      <w:numFmt w:val="lowerRoman"/>
      <w:lvlText w:val="%3."/>
      <w:lvlJc w:val="right"/>
      <w:pPr>
        <w:tabs>
          <w:tab w:val="num" w:pos="3165"/>
        </w:tabs>
        <w:ind w:left="3165" w:hanging="180"/>
      </w:pPr>
    </w:lvl>
    <w:lvl w:ilvl="3" w:tplc="0419000F" w:tentative="1">
      <w:start w:val="1"/>
      <w:numFmt w:val="decimal"/>
      <w:lvlText w:val="%4."/>
      <w:lvlJc w:val="left"/>
      <w:pPr>
        <w:tabs>
          <w:tab w:val="num" w:pos="3885"/>
        </w:tabs>
        <w:ind w:left="3885" w:hanging="360"/>
      </w:pPr>
    </w:lvl>
    <w:lvl w:ilvl="4" w:tplc="04190019" w:tentative="1">
      <w:start w:val="1"/>
      <w:numFmt w:val="lowerLetter"/>
      <w:lvlText w:val="%5."/>
      <w:lvlJc w:val="left"/>
      <w:pPr>
        <w:tabs>
          <w:tab w:val="num" w:pos="4605"/>
        </w:tabs>
        <w:ind w:left="4605" w:hanging="360"/>
      </w:pPr>
    </w:lvl>
    <w:lvl w:ilvl="5" w:tplc="0419001B" w:tentative="1">
      <w:start w:val="1"/>
      <w:numFmt w:val="lowerRoman"/>
      <w:lvlText w:val="%6."/>
      <w:lvlJc w:val="right"/>
      <w:pPr>
        <w:tabs>
          <w:tab w:val="num" w:pos="5325"/>
        </w:tabs>
        <w:ind w:left="5325" w:hanging="180"/>
      </w:pPr>
    </w:lvl>
    <w:lvl w:ilvl="6" w:tplc="0419000F" w:tentative="1">
      <w:start w:val="1"/>
      <w:numFmt w:val="decimal"/>
      <w:lvlText w:val="%7."/>
      <w:lvlJc w:val="left"/>
      <w:pPr>
        <w:tabs>
          <w:tab w:val="num" w:pos="6045"/>
        </w:tabs>
        <w:ind w:left="6045" w:hanging="360"/>
      </w:pPr>
    </w:lvl>
    <w:lvl w:ilvl="7" w:tplc="04190019" w:tentative="1">
      <w:start w:val="1"/>
      <w:numFmt w:val="lowerLetter"/>
      <w:lvlText w:val="%8."/>
      <w:lvlJc w:val="left"/>
      <w:pPr>
        <w:tabs>
          <w:tab w:val="num" w:pos="6765"/>
        </w:tabs>
        <w:ind w:left="6765" w:hanging="360"/>
      </w:pPr>
    </w:lvl>
    <w:lvl w:ilvl="8" w:tplc="0419001B" w:tentative="1">
      <w:start w:val="1"/>
      <w:numFmt w:val="lowerRoman"/>
      <w:lvlText w:val="%9."/>
      <w:lvlJc w:val="right"/>
      <w:pPr>
        <w:tabs>
          <w:tab w:val="num" w:pos="7485"/>
        </w:tabs>
        <w:ind w:left="7485" w:hanging="180"/>
      </w:pPr>
    </w:lvl>
  </w:abstractNum>
  <w:abstractNum w:abstractNumId="8" w15:restartNumberingAfterBreak="0">
    <w:nsid w:val="7CC261E4"/>
    <w:multiLevelType w:val="hybridMultilevel"/>
    <w:tmpl w:val="6324CA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1647854917">
    <w:abstractNumId w:val="4"/>
  </w:num>
  <w:num w:numId="2" w16cid:durableId="2057703977">
    <w:abstractNumId w:val="2"/>
  </w:num>
  <w:num w:numId="3" w16cid:durableId="1890654527">
    <w:abstractNumId w:val="8"/>
  </w:num>
  <w:num w:numId="4" w16cid:durableId="1505974094">
    <w:abstractNumId w:val="7"/>
  </w:num>
  <w:num w:numId="5" w16cid:durableId="1103694008">
    <w:abstractNumId w:val="3"/>
  </w:num>
  <w:num w:numId="6" w16cid:durableId="245698046">
    <w:abstractNumId w:val="6"/>
  </w:num>
  <w:num w:numId="7" w16cid:durableId="665287122">
    <w:abstractNumId w:val="5"/>
  </w:num>
  <w:num w:numId="8" w16cid:durableId="1094981173">
    <w:abstractNumId w:val="1"/>
  </w:num>
  <w:num w:numId="9" w16cid:durableId="163679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33"/>
    <w:rsid w:val="000161EC"/>
    <w:rsid w:val="000174C3"/>
    <w:rsid w:val="00022F1F"/>
    <w:rsid w:val="000244F6"/>
    <w:rsid w:val="00032039"/>
    <w:rsid w:val="00037548"/>
    <w:rsid w:val="0004024F"/>
    <w:rsid w:val="00040927"/>
    <w:rsid w:val="000466F9"/>
    <w:rsid w:val="00047B1E"/>
    <w:rsid w:val="00060750"/>
    <w:rsid w:val="000608D9"/>
    <w:rsid w:val="000806F9"/>
    <w:rsid w:val="00080A56"/>
    <w:rsid w:val="00084A56"/>
    <w:rsid w:val="000944E2"/>
    <w:rsid w:val="00095DD2"/>
    <w:rsid w:val="00096E10"/>
    <w:rsid w:val="000A006D"/>
    <w:rsid w:val="000B7133"/>
    <w:rsid w:val="000C0EA9"/>
    <w:rsid w:val="000D0E31"/>
    <w:rsid w:val="000D270C"/>
    <w:rsid w:val="000D3DD6"/>
    <w:rsid w:val="000E6F8B"/>
    <w:rsid w:val="000E73EC"/>
    <w:rsid w:val="000F09D7"/>
    <w:rsid w:val="000F3DEE"/>
    <w:rsid w:val="000F6B95"/>
    <w:rsid w:val="00100302"/>
    <w:rsid w:val="00103879"/>
    <w:rsid w:val="00112DB5"/>
    <w:rsid w:val="0011545D"/>
    <w:rsid w:val="001250D2"/>
    <w:rsid w:val="00126659"/>
    <w:rsid w:val="00127B81"/>
    <w:rsid w:val="00130959"/>
    <w:rsid w:val="00133DE9"/>
    <w:rsid w:val="00134BEE"/>
    <w:rsid w:val="00135697"/>
    <w:rsid w:val="00141B72"/>
    <w:rsid w:val="00146387"/>
    <w:rsid w:val="001470B3"/>
    <w:rsid w:val="001472EE"/>
    <w:rsid w:val="001547A2"/>
    <w:rsid w:val="001569D8"/>
    <w:rsid w:val="001659B0"/>
    <w:rsid w:val="00180B1D"/>
    <w:rsid w:val="0018144A"/>
    <w:rsid w:val="00182AD2"/>
    <w:rsid w:val="001861F3"/>
    <w:rsid w:val="001930BD"/>
    <w:rsid w:val="0019540F"/>
    <w:rsid w:val="001A2C9D"/>
    <w:rsid w:val="001A7487"/>
    <w:rsid w:val="001B573E"/>
    <w:rsid w:val="001C4149"/>
    <w:rsid w:val="001C55F8"/>
    <w:rsid w:val="001C56FF"/>
    <w:rsid w:val="001D06B7"/>
    <w:rsid w:val="001D5036"/>
    <w:rsid w:val="001E2CE2"/>
    <w:rsid w:val="001E7A01"/>
    <w:rsid w:val="001F31B0"/>
    <w:rsid w:val="001F380E"/>
    <w:rsid w:val="001F56CC"/>
    <w:rsid w:val="0021541E"/>
    <w:rsid w:val="00223E2E"/>
    <w:rsid w:val="00225692"/>
    <w:rsid w:val="00233B87"/>
    <w:rsid w:val="00242142"/>
    <w:rsid w:val="00242BBD"/>
    <w:rsid w:val="00242D8D"/>
    <w:rsid w:val="00243526"/>
    <w:rsid w:val="00245764"/>
    <w:rsid w:val="002504D7"/>
    <w:rsid w:val="0025157A"/>
    <w:rsid w:val="002557C7"/>
    <w:rsid w:val="00256FDF"/>
    <w:rsid w:val="0026788D"/>
    <w:rsid w:val="00273D33"/>
    <w:rsid w:val="0027579E"/>
    <w:rsid w:val="002876D5"/>
    <w:rsid w:val="0029006E"/>
    <w:rsid w:val="00292355"/>
    <w:rsid w:val="002A717A"/>
    <w:rsid w:val="002A7201"/>
    <w:rsid w:val="002B2999"/>
    <w:rsid w:val="002B38DF"/>
    <w:rsid w:val="002C513B"/>
    <w:rsid w:val="002D4281"/>
    <w:rsid w:val="002E46C0"/>
    <w:rsid w:val="002F6B19"/>
    <w:rsid w:val="002F6E3D"/>
    <w:rsid w:val="0030216D"/>
    <w:rsid w:val="00305E02"/>
    <w:rsid w:val="003176A5"/>
    <w:rsid w:val="00322201"/>
    <w:rsid w:val="0032629B"/>
    <w:rsid w:val="00341A91"/>
    <w:rsid w:val="00342695"/>
    <w:rsid w:val="00342D26"/>
    <w:rsid w:val="00342F71"/>
    <w:rsid w:val="003508BE"/>
    <w:rsid w:val="00353A96"/>
    <w:rsid w:val="003755A6"/>
    <w:rsid w:val="003769C6"/>
    <w:rsid w:val="003824EB"/>
    <w:rsid w:val="0038587F"/>
    <w:rsid w:val="00385D08"/>
    <w:rsid w:val="00387EF5"/>
    <w:rsid w:val="00393106"/>
    <w:rsid w:val="00394A6C"/>
    <w:rsid w:val="00394B63"/>
    <w:rsid w:val="003A0C0D"/>
    <w:rsid w:val="003A3D6C"/>
    <w:rsid w:val="003B04DE"/>
    <w:rsid w:val="003C01ED"/>
    <w:rsid w:val="003C102C"/>
    <w:rsid w:val="003C135A"/>
    <w:rsid w:val="003C3F53"/>
    <w:rsid w:val="003D2AA4"/>
    <w:rsid w:val="003D3472"/>
    <w:rsid w:val="003D4331"/>
    <w:rsid w:val="003E44BC"/>
    <w:rsid w:val="003E6A9E"/>
    <w:rsid w:val="003F6904"/>
    <w:rsid w:val="003F6AD0"/>
    <w:rsid w:val="00407460"/>
    <w:rsid w:val="004152C2"/>
    <w:rsid w:val="00433A24"/>
    <w:rsid w:val="00435410"/>
    <w:rsid w:val="0044037A"/>
    <w:rsid w:val="004512C0"/>
    <w:rsid w:val="00455588"/>
    <w:rsid w:val="004561B2"/>
    <w:rsid w:val="004563B3"/>
    <w:rsid w:val="0047486B"/>
    <w:rsid w:val="00475547"/>
    <w:rsid w:val="00476DA0"/>
    <w:rsid w:val="00484A88"/>
    <w:rsid w:val="004858C0"/>
    <w:rsid w:val="00494E73"/>
    <w:rsid w:val="00497E6F"/>
    <w:rsid w:val="004A6BBA"/>
    <w:rsid w:val="004B76EC"/>
    <w:rsid w:val="004B76F0"/>
    <w:rsid w:val="004C35DE"/>
    <w:rsid w:val="004C43EA"/>
    <w:rsid w:val="004C7923"/>
    <w:rsid w:val="004D1D3C"/>
    <w:rsid w:val="004F142C"/>
    <w:rsid w:val="004F70E9"/>
    <w:rsid w:val="005000C1"/>
    <w:rsid w:val="00501867"/>
    <w:rsid w:val="00505F9B"/>
    <w:rsid w:val="00511A77"/>
    <w:rsid w:val="00513553"/>
    <w:rsid w:val="00515BB9"/>
    <w:rsid w:val="00520CE1"/>
    <w:rsid w:val="0052295F"/>
    <w:rsid w:val="00525FF5"/>
    <w:rsid w:val="00527CB0"/>
    <w:rsid w:val="00527FBF"/>
    <w:rsid w:val="00531B60"/>
    <w:rsid w:val="00533AAB"/>
    <w:rsid w:val="00536B8C"/>
    <w:rsid w:val="0054000F"/>
    <w:rsid w:val="00544EF5"/>
    <w:rsid w:val="00550624"/>
    <w:rsid w:val="00551202"/>
    <w:rsid w:val="0055701D"/>
    <w:rsid w:val="005620B9"/>
    <w:rsid w:val="00565E77"/>
    <w:rsid w:val="0057296E"/>
    <w:rsid w:val="005735E6"/>
    <w:rsid w:val="00573DF5"/>
    <w:rsid w:val="00576C49"/>
    <w:rsid w:val="005801E8"/>
    <w:rsid w:val="005808D6"/>
    <w:rsid w:val="00586764"/>
    <w:rsid w:val="00590E79"/>
    <w:rsid w:val="00593C1A"/>
    <w:rsid w:val="00595BFF"/>
    <w:rsid w:val="005A05DF"/>
    <w:rsid w:val="005A21A1"/>
    <w:rsid w:val="005B2341"/>
    <w:rsid w:val="005B3570"/>
    <w:rsid w:val="005B35A3"/>
    <w:rsid w:val="005C3156"/>
    <w:rsid w:val="005D36C7"/>
    <w:rsid w:val="005E418E"/>
    <w:rsid w:val="005E5554"/>
    <w:rsid w:val="005F254A"/>
    <w:rsid w:val="005F3CA1"/>
    <w:rsid w:val="005F4F71"/>
    <w:rsid w:val="005F5ECE"/>
    <w:rsid w:val="006002BE"/>
    <w:rsid w:val="00602DE7"/>
    <w:rsid w:val="0060310D"/>
    <w:rsid w:val="0060320A"/>
    <w:rsid w:val="00607E82"/>
    <w:rsid w:val="00622572"/>
    <w:rsid w:val="00622B2D"/>
    <w:rsid w:val="00647DA7"/>
    <w:rsid w:val="00650FF6"/>
    <w:rsid w:val="00654FF1"/>
    <w:rsid w:val="00656DC2"/>
    <w:rsid w:val="00661D92"/>
    <w:rsid w:val="0066454D"/>
    <w:rsid w:val="00667E72"/>
    <w:rsid w:val="0068129F"/>
    <w:rsid w:val="006815F3"/>
    <w:rsid w:val="00685623"/>
    <w:rsid w:val="006913AE"/>
    <w:rsid w:val="00694297"/>
    <w:rsid w:val="006A0F4D"/>
    <w:rsid w:val="006A1655"/>
    <w:rsid w:val="006A7DBD"/>
    <w:rsid w:val="006B12E3"/>
    <w:rsid w:val="006B3D38"/>
    <w:rsid w:val="006C566E"/>
    <w:rsid w:val="006D44D1"/>
    <w:rsid w:val="006D747E"/>
    <w:rsid w:val="006D74F7"/>
    <w:rsid w:val="006D7E02"/>
    <w:rsid w:val="006E772D"/>
    <w:rsid w:val="006F2963"/>
    <w:rsid w:val="006F2FFE"/>
    <w:rsid w:val="006F37AF"/>
    <w:rsid w:val="006F3D06"/>
    <w:rsid w:val="006F6466"/>
    <w:rsid w:val="0070000A"/>
    <w:rsid w:val="00705664"/>
    <w:rsid w:val="00710BCA"/>
    <w:rsid w:val="007204C1"/>
    <w:rsid w:val="00720B20"/>
    <w:rsid w:val="00721775"/>
    <w:rsid w:val="0073457F"/>
    <w:rsid w:val="007355FE"/>
    <w:rsid w:val="007407A4"/>
    <w:rsid w:val="00751290"/>
    <w:rsid w:val="00767CF3"/>
    <w:rsid w:val="00773349"/>
    <w:rsid w:val="00784A12"/>
    <w:rsid w:val="00795CF5"/>
    <w:rsid w:val="007A1E9D"/>
    <w:rsid w:val="007A669F"/>
    <w:rsid w:val="007B46A4"/>
    <w:rsid w:val="007B5102"/>
    <w:rsid w:val="007B53D2"/>
    <w:rsid w:val="007C4102"/>
    <w:rsid w:val="007D2349"/>
    <w:rsid w:val="007D4BC2"/>
    <w:rsid w:val="007D5F80"/>
    <w:rsid w:val="007E61A8"/>
    <w:rsid w:val="007F3293"/>
    <w:rsid w:val="00800B43"/>
    <w:rsid w:val="00801B92"/>
    <w:rsid w:val="00802CC0"/>
    <w:rsid w:val="008032B9"/>
    <w:rsid w:val="008060BF"/>
    <w:rsid w:val="008068D4"/>
    <w:rsid w:val="0081225E"/>
    <w:rsid w:val="00820A91"/>
    <w:rsid w:val="00822A8E"/>
    <w:rsid w:val="00822C55"/>
    <w:rsid w:val="0082495C"/>
    <w:rsid w:val="00825EA6"/>
    <w:rsid w:val="00827EB4"/>
    <w:rsid w:val="00827ECC"/>
    <w:rsid w:val="008333B3"/>
    <w:rsid w:val="00834C42"/>
    <w:rsid w:val="00834DD2"/>
    <w:rsid w:val="008360DF"/>
    <w:rsid w:val="008370B1"/>
    <w:rsid w:val="00840301"/>
    <w:rsid w:val="00843595"/>
    <w:rsid w:val="00846576"/>
    <w:rsid w:val="00851976"/>
    <w:rsid w:val="00855384"/>
    <w:rsid w:val="0085691A"/>
    <w:rsid w:val="00861270"/>
    <w:rsid w:val="00864376"/>
    <w:rsid w:val="00870919"/>
    <w:rsid w:val="00872AA5"/>
    <w:rsid w:val="00873918"/>
    <w:rsid w:val="00876035"/>
    <w:rsid w:val="00876FEA"/>
    <w:rsid w:val="00884B29"/>
    <w:rsid w:val="00891023"/>
    <w:rsid w:val="008928CB"/>
    <w:rsid w:val="00894839"/>
    <w:rsid w:val="008A7AD3"/>
    <w:rsid w:val="008B2C27"/>
    <w:rsid w:val="008C0290"/>
    <w:rsid w:val="008C1220"/>
    <w:rsid w:val="008E4520"/>
    <w:rsid w:val="00906A68"/>
    <w:rsid w:val="00911168"/>
    <w:rsid w:val="00930518"/>
    <w:rsid w:val="0093555E"/>
    <w:rsid w:val="00936E9A"/>
    <w:rsid w:val="009407BF"/>
    <w:rsid w:val="00941C75"/>
    <w:rsid w:val="0095258D"/>
    <w:rsid w:val="009549C9"/>
    <w:rsid w:val="00961400"/>
    <w:rsid w:val="00973319"/>
    <w:rsid w:val="0097624C"/>
    <w:rsid w:val="00981E33"/>
    <w:rsid w:val="009825A9"/>
    <w:rsid w:val="00982A72"/>
    <w:rsid w:val="00996037"/>
    <w:rsid w:val="009A46B3"/>
    <w:rsid w:val="009B0219"/>
    <w:rsid w:val="009B13B6"/>
    <w:rsid w:val="009B3EDB"/>
    <w:rsid w:val="009C0E11"/>
    <w:rsid w:val="009C5EF6"/>
    <w:rsid w:val="009D2B25"/>
    <w:rsid w:val="009E082A"/>
    <w:rsid w:val="009E7C84"/>
    <w:rsid w:val="009F2203"/>
    <w:rsid w:val="00A11B94"/>
    <w:rsid w:val="00A1382C"/>
    <w:rsid w:val="00A15594"/>
    <w:rsid w:val="00A15C87"/>
    <w:rsid w:val="00A253EF"/>
    <w:rsid w:val="00A25BB9"/>
    <w:rsid w:val="00A26C67"/>
    <w:rsid w:val="00A44312"/>
    <w:rsid w:val="00A50807"/>
    <w:rsid w:val="00A53CC2"/>
    <w:rsid w:val="00A57550"/>
    <w:rsid w:val="00A62B36"/>
    <w:rsid w:val="00A64221"/>
    <w:rsid w:val="00A64527"/>
    <w:rsid w:val="00A66427"/>
    <w:rsid w:val="00A73152"/>
    <w:rsid w:val="00A74F5A"/>
    <w:rsid w:val="00A82401"/>
    <w:rsid w:val="00A87199"/>
    <w:rsid w:val="00A90ED3"/>
    <w:rsid w:val="00A97090"/>
    <w:rsid w:val="00AA11F0"/>
    <w:rsid w:val="00AA41CD"/>
    <w:rsid w:val="00AA5B68"/>
    <w:rsid w:val="00AB413F"/>
    <w:rsid w:val="00AC0B47"/>
    <w:rsid w:val="00AC2288"/>
    <w:rsid w:val="00AD0B18"/>
    <w:rsid w:val="00AD3768"/>
    <w:rsid w:val="00AD48D4"/>
    <w:rsid w:val="00AD516C"/>
    <w:rsid w:val="00AD5A4E"/>
    <w:rsid w:val="00AF4691"/>
    <w:rsid w:val="00B13F16"/>
    <w:rsid w:val="00B279C8"/>
    <w:rsid w:val="00B30954"/>
    <w:rsid w:val="00B30DAC"/>
    <w:rsid w:val="00B338FD"/>
    <w:rsid w:val="00B4236A"/>
    <w:rsid w:val="00B55C44"/>
    <w:rsid w:val="00B56843"/>
    <w:rsid w:val="00B66944"/>
    <w:rsid w:val="00B76884"/>
    <w:rsid w:val="00B8651E"/>
    <w:rsid w:val="00B86636"/>
    <w:rsid w:val="00B91CE0"/>
    <w:rsid w:val="00B91F61"/>
    <w:rsid w:val="00B95512"/>
    <w:rsid w:val="00B97A3E"/>
    <w:rsid w:val="00BA0A83"/>
    <w:rsid w:val="00BA2F74"/>
    <w:rsid w:val="00BA6686"/>
    <w:rsid w:val="00BB30D1"/>
    <w:rsid w:val="00BB3956"/>
    <w:rsid w:val="00BB4962"/>
    <w:rsid w:val="00BC0AC2"/>
    <w:rsid w:val="00BC7F6A"/>
    <w:rsid w:val="00BD5913"/>
    <w:rsid w:val="00BE1350"/>
    <w:rsid w:val="00BE17B8"/>
    <w:rsid w:val="00BE3290"/>
    <w:rsid w:val="00BF6BBF"/>
    <w:rsid w:val="00C0129D"/>
    <w:rsid w:val="00C12CED"/>
    <w:rsid w:val="00C13D84"/>
    <w:rsid w:val="00C235C9"/>
    <w:rsid w:val="00C263FC"/>
    <w:rsid w:val="00C506EB"/>
    <w:rsid w:val="00C52079"/>
    <w:rsid w:val="00C55021"/>
    <w:rsid w:val="00C57E32"/>
    <w:rsid w:val="00C605C8"/>
    <w:rsid w:val="00C61DAF"/>
    <w:rsid w:val="00C65DB9"/>
    <w:rsid w:val="00C9427B"/>
    <w:rsid w:val="00CA11F8"/>
    <w:rsid w:val="00CB2C17"/>
    <w:rsid w:val="00CD13CE"/>
    <w:rsid w:val="00CD18E3"/>
    <w:rsid w:val="00CF71CF"/>
    <w:rsid w:val="00D11888"/>
    <w:rsid w:val="00D34ABC"/>
    <w:rsid w:val="00D602B6"/>
    <w:rsid w:val="00D60817"/>
    <w:rsid w:val="00D64673"/>
    <w:rsid w:val="00D65D21"/>
    <w:rsid w:val="00D707C3"/>
    <w:rsid w:val="00D718A7"/>
    <w:rsid w:val="00D91DE3"/>
    <w:rsid w:val="00D9327D"/>
    <w:rsid w:val="00DA0A9E"/>
    <w:rsid w:val="00DA6C8B"/>
    <w:rsid w:val="00DA72EF"/>
    <w:rsid w:val="00DB1A77"/>
    <w:rsid w:val="00DB2F0A"/>
    <w:rsid w:val="00DC1C16"/>
    <w:rsid w:val="00DC65D5"/>
    <w:rsid w:val="00DD38EE"/>
    <w:rsid w:val="00DD3D03"/>
    <w:rsid w:val="00DD4F78"/>
    <w:rsid w:val="00DD7CCC"/>
    <w:rsid w:val="00DE67E1"/>
    <w:rsid w:val="00DF1115"/>
    <w:rsid w:val="00DF2B6C"/>
    <w:rsid w:val="00DF4F40"/>
    <w:rsid w:val="00DF7C74"/>
    <w:rsid w:val="00E000FA"/>
    <w:rsid w:val="00E03B65"/>
    <w:rsid w:val="00E07F93"/>
    <w:rsid w:val="00E21C71"/>
    <w:rsid w:val="00E2577B"/>
    <w:rsid w:val="00E26D15"/>
    <w:rsid w:val="00E313EA"/>
    <w:rsid w:val="00E3267A"/>
    <w:rsid w:val="00E32DF8"/>
    <w:rsid w:val="00E3725F"/>
    <w:rsid w:val="00E3769B"/>
    <w:rsid w:val="00E43A1E"/>
    <w:rsid w:val="00E53FAB"/>
    <w:rsid w:val="00E57427"/>
    <w:rsid w:val="00E63854"/>
    <w:rsid w:val="00E645DE"/>
    <w:rsid w:val="00E702F1"/>
    <w:rsid w:val="00E72ADA"/>
    <w:rsid w:val="00E75D1D"/>
    <w:rsid w:val="00E75E20"/>
    <w:rsid w:val="00E762B5"/>
    <w:rsid w:val="00E86914"/>
    <w:rsid w:val="00EA1A64"/>
    <w:rsid w:val="00EA3DE3"/>
    <w:rsid w:val="00EA4171"/>
    <w:rsid w:val="00EB1E48"/>
    <w:rsid w:val="00EB499A"/>
    <w:rsid w:val="00EB71E0"/>
    <w:rsid w:val="00EB7900"/>
    <w:rsid w:val="00EB7D8D"/>
    <w:rsid w:val="00EC2AC7"/>
    <w:rsid w:val="00EC66DD"/>
    <w:rsid w:val="00ED1D18"/>
    <w:rsid w:val="00ED5105"/>
    <w:rsid w:val="00F02DB2"/>
    <w:rsid w:val="00F110A0"/>
    <w:rsid w:val="00F137BC"/>
    <w:rsid w:val="00F14C12"/>
    <w:rsid w:val="00F226FC"/>
    <w:rsid w:val="00F23963"/>
    <w:rsid w:val="00F25BBC"/>
    <w:rsid w:val="00F33C20"/>
    <w:rsid w:val="00F364D0"/>
    <w:rsid w:val="00F37335"/>
    <w:rsid w:val="00F37883"/>
    <w:rsid w:val="00F42358"/>
    <w:rsid w:val="00F506BA"/>
    <w:rsid w:val="00F72084"/>
    <w:rsid w:val="00F73E69"/>
    <w:rsid w:val="00F75F31"/>
    <w:rsid w:val="00F77488"/>
    <w:rsid w:val="00F85777"/>
    <w:rsid w:val="00F91525"/>
    <w:rsid w:val="00F94100"/>
    <w:rsid w:val="00FB0EE1"/>
    <w:rsid w:val="00FC2867"/>
    <w:rsid w:val="00FE0790"/>
    <w:rsid w:val="00FE399F"/>
    <w:rsid w:val="00FF4097"/>
    <w:rsid w:val="00FF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B7CC8"/>
  <w15:docId w15:val="{4F326CC7-26ED-4CD1-87A3-FFC9E45A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E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w:basedOn w:val="a"/>
    <w:rsid w:val="009407BF"/>
    <w:pPr>
      <w:spacing w:after="160" w:line="240" w:lineRule="exact"/>
    </w:pPr>
    <w:rPr>
      <w:rFonts w:ascii="Verdana" w:eastAsia="MS Mincho" w:hAnsi="Verdana" w:cs="Verdana"/>
      <w:sz w:val="20"/>
      <w:szCs w:val="20"/>
      <w:lang w:val="en-US" w:eastAsia="en-US"/>
    </w:rPr>
  </w:style>
  <w:style w:type="paragraph" w:styleId="a3">
    <w:name w:val="Balloon Text"/>
    <w:basedOn w:val="a"/>
    <w:link w:val="a4"/>
    <w:rsid w:val="006C566E"/>
    <w:rPr>
      <w:rFonts w:ascii="Tahoma" w:hAnsi="Tahoma" w:cs="Tahoma"/>
      <w:sz w:val="16"/>
      <w:szCs w:val="16"/>
    </w:rPr>
  </w:style>
  <w:style w:type="character" w:customStyle="1" w:styleId="a4">
    <w:name w:val="Текст выноски Знак"/>
    <w:basedOn w:val="a0"/>
    <w:link w:val="a3"/>
    <w:rsid w:val="006C566E"/>
    <w:rPr>
      <w:rFonts w:ascii="Tahoma" w:hAnsi="Tahoma" w:cs="Tahoma"/>
      <w:sz w:val="16"/>
      <w:szCs w:val="16"/>
    </w:rPr>
  </w:style>
  <w:style w:type="table" w:styleId="a5">
    <w:name w:val="Table Grid"/>
    <w:basedOn w:val="a1"/>
    <w:rsid w:val="0084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w:basedOn w:val="a"/>
    <w:rsid w:val="00840301"/>
    <w:pPr>
      <w:spacing w:after="160" w:line="240" w:lineRule="exact"/>
    </w:pPr>
    <w:rPr>
      <w:rFonts w:ascii="Verdana" w:eastAsia="MS Mincho" w:hAnsi="Verdana" w:cs="Verdana"/>
      <w:sz w:val="20"/>
      <w:szCs w:val="20"/>
      <w:lang w:val="en-US" w:eastAsia="en-US"/>
    </w:rPr>
  </w:style>
  <w:style w:type="paragraph" w:styleId="a7">
    <w:name w:val="header"/>
    <w:basedOn w:val="a"/>
    <w:link w:val="a8"/>
    <w:unhideWhenUsed/>
    <w:rsid w:val="00393106"/>
    <w:pPr>
      <w:tabs>
        <w:tab w:val="center" w:pos="4677"/>
        <w:tab w:val="right" w:pos="9355"/>
      </w:tabs>
    </w:pPr>
  </w:style>
  <w:style w:type="character" w:customStyle="1" w:styleId="a8">
    <w:name w:val="Верхний колонтитул Знак"/>
    <w:basedOn w:val="a0"/>
    <w:link w:val="a7"/>
    <w:rsid w:val="00393106"/>
    <w:rPr>
      <w:sz w:val="24"/>
      <w:szCs w:val="24"/>
    </w:rPr>
  </w:style>
  <w:style w:type="paragraph" w:styleId="a9">
    <w:name w:val="footer"/>
    <w:basedOn w:val="a"/>
    <w:link w:val="aa"/>
    <w:uiPriority w:val="99"/>
    <w:unhideWhenUsed/>
    <w:rsid w:val="00393106"/>
    <w:pPr>
      <w:tabs>
        <w:tab w:val="center" w:pos="4677"/>
        <w:tab w:val="right" w:pos="9355"/>
      </w:tabs>
    </w:pPr>
  </w:style>
  <w:style w:type="character" w:customStyle="1" w:styleId="aa">
    <w:name w:val="Нижний колонтитул Знак"/>
    <w:basedOn w:val="a0"/>
    <w:link w:val="a9"/>
    <w:uiPriority w:val="99"/>
    <w:rsid w:val="00393106"/>
    <w:rPr>
      <w:sz w:val="24"/>
      <w:szCs w:val="24"/>
    </w:rPr>
  </w:style>
  <w:style w:type="paragraph" w:customStyle="1" w:styleId="Default">
    <w:name w:val="Default"/>
    <w:rsid w:val="00767CF3"/>
    <w:pPr>
      <w:autoSpaceDE w:val="0"/>
      <w:autoSpaceDN w:val="0"/>
      <w:adjustRightInd w:val="0"/>
    </w:pPr>
    <w:rPr>
      <w:color w:val="000000"/>
      <w:sz w:val="24"/>
      <w:szCs w:val="24"/>
    </w:rPr>
  </w:style>
  <w:style w:type="paragraph" w:styleId="ab">
    <w:name w:val="List Paragraph"/>
    <w:basedOn w:val="a"/>
    <w:uiPriority w:val="34"/>
    <w:qFormat/>
    <w:rsid w:val="00A253EF"/>
    <w:pPr>
      <w:ind w:left="720"/>
      <w:contextualSpacing/>
    </w:pPr>
  </w:style>
  <w:style w:type="character" w:styleId="ac">
    <w:name w:val="Hyperlink"/>
    <w:basedOn w:val="a0"/>
    <w:unhideWhenUsed/>
    <w:rsid w:val="00BB3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0487">
      <w:bodyDiv w:val="1"/>
      <w:marLeft w:val="0"/>
      <w:marRight w:val="0"/>
      <w:marTop w:val="0"/>
      <w:marBottom w:val="0"/>
      <w:divBdr>
        <w:top w:val="none" w:sz="0" w:space="0" w:color="auto"/>
        <w:left w:val="none" w:sz="0" w:space="0" w:color="auto"/>
        <w:bottom w:val="none" w:sz="0" w:space="0" w:color="auto"/>
        <w:right w:val="none" w:sz="0" w:space="0" w:color="auto"/>
      </w:divBdr>
    </w:div>
    <w:div w:id="840393520">
      <w:bodyDiv w:val="1"/>
      <w:marLeft w:val="0"/>
      <w:marRight w:val="0"/>
      <w:marTop w:val="0"/>
      <w:marBottom w:val="0"/>
      <w:divBdr>
        <w:top w:val="none" w:sz="0" w:space="0" w:color="auto"/>
        <w:left w:val="none" w:sz="0" w:space="0" w:color="auto"/>
        <w:bottom w:val="none" w:sz="0" w:space="0" w:color="auto"/>
        <w:right w:val="none" w:sz="0" w:space="0" w:color="auto"/>
      </w:divBdr>
    </w:div>
    <w:div w:id="1299728153">
      <w:bodyDiv w:val="1"/>
      <w:marLeft w:val="0"/>
      <w:marRight w:val="0"/>
      <w:marTop w:val="0"/>
      <w:marBottom w:val="0"/>
      <w:divBdr>
        <w:top w:val="none" w:sz="0" w:space="0" w:color="auto"/>
        <w:left w:val="none" w:sz="0" w:space="0" w:color="auto"/>
        <w:bottom w:val="none" w:sz="0" w:space="0" w:color="auto"/>
        <w:right w:val="none" w:sz="0" w:space="0" w:color="auto"/>
      </w:divBdr>
      <w:divsChild>
        <w:div w:id="147575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56D7-F373-4864-ADB0-7DCFF1AA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2418</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ВОЗМОЖНОСТЬ ИСПОЛЬЗОВАНИЯ НЕФТЕЗАВОДСКИХ ГАЗОВ С3-С4</vt:lpstr>
    </vt:vector>
  </TitlesOfParts>
  <Company>MoBIL GROUP</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ВОЗМОЖНОСТЬ ИСПОЛЬЗОВАНИЯ НЕФТЕЗАВОДСКИХ ГАЗОВ С3-С4</dc:title>
  <dc:creator>Bad Wolf</dc:creator>
  <cp:lastModifiedBy>Bağıyev Vaqif Laçın</cp:lastModifiedBy>
  <cp:revision>6</cp:revision>
  <cp:lastPrinted>2013-06-21T07:27:00Z</cp:lastPrinted>
  <dcterms:created xsi:type="dcterms:W3CDTF">2023-02-08T18:37:00Z</dcterms:created>
  <dcterms:modified xsi:type="dcterms:W3CDTF">2023-02-10T06:47:00Z</dcterms:modified>
</cp:coreProperties>
</file>